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8869" w14:textId="4B6798FD" w:rsidR="00E73DD7" w:rsidRDefault="00DB1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Potencialidad de la cepa autóctona </w:t>
      </w:r>
      <w:r w:rsidRPr="007967D3">
        <w:rPr>
          <w:b/>
          <w:i/>
          <w:iCs/>
          <w:color w:val="000000"/>
        </w:rPr>
        <w:t>Limosilactobacillus fermentum</w:t>
      </w:r>
      <w:r w:rsidRPr="00DB1613">
        <w:rPr>
          <w:b/>
          <w:color w:val="000000"/>
        </w:rPr>
        <w:t xml:space="preserve"> Lf2 </w:t>
      </w:r>
      <w:r w:rsidR="00937921">
        <w:rPr>
          <w:b/>
          <w:color w:val="000000"/>
        </w:rPr>
        <w:t xml:space="preserve">y sus exopolisacáridos (EPS) </w:t>
      </w:r>
      <w:r>
        <w:rPr>
          <w:b/>
          <w:color w:val="000000"/>
        </w:rPr>
        <w:t>para la prevención de colitis crónica</w:t>
      </w:r>
      <w:r w:rsidR="00C87BE7">
        <w:rPr>
          <w:b/>
          <w:color w:val="000000"/>
        </w:rPr>
        <w:t xml:space="preserve"> (modelo </w:t>
      </w:r>
      <w:r w:rsidR="00C87BE7" w:rsidRPr="00C87BE7">
        <w:rPr>
          <w:b/>
          <w:i/>
          <w:iCs/>
          <w:color w:val="000000"/>
        </w:rPr>
        <w:t>in vivo</w:t>
      </w:r>
      <w:r w:rsidR="00C87BE7">
        <w:rPr>
          <w:b/>
          <w:color w:val="000000"/>
        </w:rPr>
        <w:t>)</w:t>
      </w:r>
      <w:r w:rsidR="00333D3D">
        <w:rPr>
          <w:b/>
          <w:color w:val="000000"/>
        </w:rPr>
        <w:t xml:space="preserve"> y su impacto en la microbiota intestinal</w:t>
      </w:r>
    </w:p>
    <w:p w14:paraId="2D67886A" w14:textId="77777777" w:rsidR="00E73DD7" w:rsidRDefault="00E73DD7">
      <w:pPr>
        <w:spacing w:after="0" w:line="240" w:lineRule="auto"/>
        <w:ind w:left="0" w:hanging="2"/>
        <w:jc w:val="center"/>
      </w:pPr>
    </w:p>
    <w:p w14:paraId="2D67886B" w14:textId="461AA8FE" w:rsidR="00E73DD7" w:rsidRPr="0092178B" w:rsidRDefault="0092178B" w:rsidP="009B6030">
      <w:pPr>
        <w:spacing w:after="0" w:line="240" w:lineRule="auto"/>
        <w:ind w:left="0" w:hanging="2"/>
        <w:jc w:val="center"/>
      </w:pPr>
      <w:r w:rsidRPr="0092178B">
        <w:t xml:space="preserve">Ale EC </w:t>
      </w:r>
      <w:r w:rsidR="00945508" w:rsidRPr="0092178B">
        <w:t xml:space="preserve">(1), </w:t>
      </w:r>
      <w:r w:rsidR="009B6030">
        <w:t>Rojas, MF (1),</w:t>
      </w:r>
      <w:r w:rsidR="00CA6971">
        <w:t xml:space="preserve"> Irazoqui JM (2),</w:t>
      </w:r>
      <w:r w:rsidR="009B6030">
        <w:t xml:space="preserve"> Correa Olivar G (1),</w:t>
      </w:r>
      <w:r w:rsidR="00CA6971">
        <w:t xml:space="preserve"> </w:t>
      </w:r>
      <w:r w:rsidR="009B6030">
        <w:t xml:space="preserve">Peralta GH (1), </w:t>
      </w:r>
      <w:r w:rsidR="00A80583">
        <w:t xml:space="preserve">Puntillo M (1), </w:t>
      </w:r>
      <w:r w:rsidR="009B6030">
        <w:t>Burns P (1), Bergamini C</w:t>
      </w:r>
      <w:r w:rsidR="00A37516">
        <w:t xml:space="preserve"> (1), </w:t>
      </w:r>
      <w:r w:rsidR="00B5178B">
        <w:t xml:space="preserve">Amadio, A (2), </w:t>
      </w:r>
      <w:r w:rsidR="00A37516">
        <w:t>Binetti, A (1)</w:t>
      </w:r>
    </w:p>
    <w:p w14:paraId="2D67886C" w14:textId="77777777" w:rsidR="00E73DD7" w:rsidRPr="0092178B" w:rsidRDefault="00E73DD7">
      <w:pPr>
        <w:spacing w:after="0" w:line="240" w:lineRule="auto"/>
        <w:ind w:left="0" w:hanging="2"/>
        <w:jc w:val="center"/>
      </w:pPr>
    </w:p>
    <w:p w14:paraId="2D67886D" w14:textId="53336BBC" w:rsidR="00E73DD7" w:rsidRDefault="00680D91" w:rsidP="008160A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Lactología Industrial (INLAIN</w:t>
      </w:r>
      <w:r w:rsidR="009F7E49">
        <w:t>, UNL-CONICET</w:t>
      </w:r>
      <w:r>
        <w:t>)</w:t>
      </w:r>
      <w:r w:rsidR="00945508">
        <w:t xml:space="preserve">, </w:t>
      </w:r>
      <w:r>
        <w:t>Santiago del Estero 2829, Santa Fe</w:t>
      </w:r>
      <w:r w:rsidR="000D3CFC">
        <w:t xml:space="preserve"> </w:t>
      </w:r>
      <w:r w:rsidR="007F0366">
        <w:t>(</w:t>
      </w:r>
      <w:r w:rsidR="000D3CFC">
        <w:t>3000</w:t>
      </w:r>
      <w:r w:rsidR="007F0366">
        <w:t>)</w:t>
      </w:r>
      <w:r>
        <w:t>, Argentina.</w:t>
      </w:r>
    </w:p>
    <w:p w14:paraId="14D822BB" w14:textId="17CB9395" w:rsidR="007F0366" w:rsidRDefault="008160A4" w:rsidP="007F036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8160A4">
        <w:t>Instituto de Investigación de la Cadena Láctea</w:t>
      </w:r>
      <w:r>
        <w:t xml:space="preserve"> (IDICAL,</w:t>
      </w:r>
      <w:r w:rsidR="007F0366">
        <w:t xml:space="preserve"> INTA-CONICET), Experimental INTA Rafaela Ruta 34 km 227, Rafaela (2300), Argentina.</w:t>
      </w:r>
    </w:p>
    <w:p w14:paraId="2D67886F" w14:textId="2FFC6E57" w:rsidR="00E73DD7" w:rsidRDefault="009455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</w:t>
      </w:r>
      <w:r w:rsidR="00715E83">
        <w:rPr>
          <w:color w:val="000000"/>
        </w:rPr>
        <w:t>: eliale@fiq.unl.edu.ar</w:t>
      </w:r>
      <w:r>
        <w:rPr>
          <w:color w:val="000000"/>
        </w:rPr>
        <w:tab/>
      </w:r>
    </w:p>
    <w:p w14:paraId="2D678870" w14:textId="77777777" w:rsidR="00E73DD7" w:rsidRDefault="00E73DD7">
      <w:pPr>
        <w:spacing w:after="0" w:line="240" w:lineRule="auto"/>
        <w:ind w:left="0" w:hanging="2"/>
      </w:pPr>
    </w:p>
    <w:p w14:paraId="2D678871" w14:textId="77777777" w:rsidR="00E73DD7" w:rsidRPr="005A4383" w:rsidRDefault="00945508">
      <w:pPr>
        <w:spacing w:after="0" w:line="240" w:lineRule="auto"/>
        <w:ind w:left="0" w:hanging="2"/>
      </w:pPr>
      <w:r w:rsidRPr="005A4383">
        <w:t>RESUMEN</w:t>
      </w:r>
    </w:p>
    <w:p w14:paraId="2D678872" w14:textId="77777777" w:rsidR="00E73DD7" w:rsidRPr="005A4383" w:rsidRDefault="00E73DD7">
      <w:pPr>
        <w:spacing w:after="0" w:line="240" w:lineRule="auto"/>
        <w:ind w:left="0" w:hanging="2"/>
      </w:pPr>
    </w:p>
    <w:p w14:paraId="64FB88C1" w14:textId="34DFC322" w:rsidR="008C4634" w:rsidRPr="008C4634" w:rsidRDefault="00D35BC3" w:rsidP="006627AC">
      <w:pPr>
        <w:spacing w:after="0" w:line="240" w:lineRule="auto"/>
        <w:ind w:left="0" w:hanging="2"/>
      </w:pPr>
      <w:r w:rsidRPr="00D35BC3">
        <w:rPr>
          <w:i/>
          <w:iCs/>
        </w:rPr>
        <w:t>Limosilactobacillus fermentum</w:t>
      </w:r>
      <w:r w:rsidRPr="00D35BC3">
        <w:t xml:space="preserve"> Lf2 (Lf2)</w:t>
      </w:r>
      <w:r w:rsidR="00865264">
        <w:t xml:space="preserve"> </w:t>
      </w:r>
      <w:r w:rsidR="003F33DD">
        <w:t xml:space="preserve">se caracteriza por </w:t>
      </w:r>
      <w:r w:rsidR="00865264">
        <w:t>producir altos niveles de exopolisacáridos (EPS)</w:t>
      </w:r>
      <w:r w:rsidR="008D04E9">
        <w:t xml:space="preserve"> que</w:t>
      </w:r>
      <w:r w:rsidR="00654908">
        <w:t xml:space="preserve"> </w:t>
      </w:r>
      <w:r w:rsidR="00445E1D">
        <w:t xml:space="preserve">han demostrado </w:t>
      </w:r>
      <w:r w:rsidR="00A5551A">
        <w:t xml:space="preserve">poseer </w:t>
      </w:r>
      <w:r w:rsidR="00445E1D">
        <w:t>propiedades funcionales y tecnológicas interesantes</w:t>
      </w:r>
      <w:r w:rsidR="008D04E9">
        <w:t>. E</w:t>
      </w:r>
      <w:r w:rsidR="000323F6">
        <w:t>l objetivo de este trabajo fue</w:t>
      </w:r>
      <w:r w:rsidR="00654908">
        <w:t xml:space="preserve"> evaluar el potencial probiótico de Lf2 y su posible relación con la síntesis de estos metabolitos</w:t>
      </w:r>
      <w:r w:rsidR="00A5551A">
        <w:t>.</w:t>
      </w:r>
      <w:r w:rsidR="008304FF">
        <w:t xml:space="preserve"> En particular, s</w:t>
      </w:r>
      <w:r w:rsidR="008C4634" w:rsidRPr="008C4634">
        <w:t>e estudió el rol preventivo de la cepa</w:t>
      </w:r>
      <w:bookmarkStart w:id="0" w:name="_Hlk107224402"/>
      <w:r w:rsidR="008C4634" w:rsidRPr="008C4634">
        <w:t xml:space="preserve"> </w:t>
      </w:r>
      <w:bookmarkEnd w:id="0"/>
      <w:r w:rsidR="008C4634" w:rsidRPr="008C4634">
        <w:t xml:space="preserve">como de sus EPS purificados en un modelo murino de colitis crónica inducida con TNBS (ácido sulfónico 2,4,6-trinitrobenceno). Para esto, ratones BALB/c de 8 semanas de edad fueron tratados por vía intrarectal con dosis crecientes de TNBS resuspendido en etanol 50% a lo largo del ensayo (25, 37,5 y 80 mg/kg a los días 0, 7 y 14, respectivamente). Paralelamente, los ratones recibieron por intubación intragástrica distintos tratamientos durante 15 días: Lf2 liofilizada </w:t>
      </w:r>
      <w:r w:rsidR="009E1797">
        <w:t xml:space="preserve">en lactosa 10% (m/v) </w:t>
      </w:r>
      <w:r w:rsidR="008C4634" w:rsidRPr="008C4634">
        <w:t>y resuspendida en agua estéril (10</w:t>
      </w:r>
      <w:r w:rsidR="008C4634" w:rsidRPr="004A326D">
        <w:rPr>
          <w:vertAlign w:val="superscript"/>
        </w:rPr>
        <w:t xml:space="preserve">8 </w:t>
      </w:r>
      <w:r w:rsidR="008C4634" w:rsidRPr="008C4634">
        <w:t>UFC/día/ratón, grupo Lf2); EPS purificado y resuspendido en lactosa 10% (0,6 mg/día/ratón, grupo EPS);</w:t>
      </w:r>
      <w:r w:rsidR="00857186">
        <w:t xml:space="preserve"> y</w:t>
      </w:r>
      <w:r w:rsidR="008C4634" w:rsidRPr="008C4634">
        <w:t xml:space="preserve"> lactosa 10% (grupo </w:t>
      </w:r>
      <w:r w:rsidR="00925725">
        <w:t>TNBS</w:t>
      </w:r>
      <w:r w:rsidR="008C4634" w:rsidRPr="008C4634">
        <w:t>). Además, se sumó otro grupo control (saludable, S) que fue tratado con alcohol 50% sin TNBS</w:t>
      </w:r>
      <w:r w:rsidR="009E1797">
        <w:t xml:space="preserve">, </w:t>
      </w:r>
      <w:r w:rsidR="000C7536">
        <w:t xml:space="preserve">al que se le administró </w:t>
      </w:r>
      <w:r w:rsidR="008C4634" w:rsidRPr="008C4634">
        <w:t xml:space="preserve">lactosa 10%. Luego de cada tratamiento, los ratones fueron anestesiados y sacrificados por dislocación cervical. A partir de los homogenatos de intestinos se midieron distintas citoquinas por ELISA y se determinó IgA en fluido intestinal. </w:t>
      </w:r>
      <w:r w:rsidR="00C57F80">
        <w:t xml:space="preserve">Los </w:t>
      </w:r>
      <w:r w:rsidR="008C4634" w:rsidRPr="008C4634">
        <w:t xml:space="preserve">niveles de ácidos grasos de cadena corta (SCFA) en el contenido de ciego </w:t>
      </w:r>
      <w:r w:rsidR="00C57F80">
        <w:t xml:space="preserve">fueron determinados </w:t>
      </w:r>
      <w:r w:rsidR="008C4634" w:rsidRPr="008C4634">
        <w:t>por HPLC</w:t>
      </w:r>
      <w:r w:rsidR="00A62842">
        <w:t xml:space="preserve">. </w:t>
      </w:r>
      <w:r w:rsidR="008C4634" w:rsidRPr="008C4634">
        <w:t>En intestino delgado, se observó un incremento significativo de IgA para el grupo EPS y una disminución de IFN-γ para Lf2 en comparación con los demás grupos</w:t>
      </w:r>
      <w:r w:rsidR="003C7E2C">
        <w:t>.</w:t>
      </w:r>
      <w:r w:rsidR="008C4634" w:rsidRPr="008C4634">
        <w:t xml:space="preserve"> Por otro lado, en intestino grueso, IL-2 e IFN- γ presentaron menores niveles para los grupos EPS y Lf2 en comparación con los grupos </w:t>
      </w:r>
      <w:r w:rsidR="00925725">
        <w:t>TNBS</w:t>
      </w:r>
      <w:r w:rsidR="008C4634" w:rsidRPr="008C4634">
        <w:t xml:space="preserve"> y S</w:t>
      </w:r>
      <w:r w:rsidR="0002356B">
        <w:t xml:space="preserve"> (</w:t>
      </w:r>
      <w:r w:rsidR="0002356B" w:rsidRPr="0002356B">
        <w:rPr>
          <w:i/>
          <w:iCs/>
        </w:rPr>
        <w:t>p</w:t>
      </w:r>
      <w:r w:rsidR="0002356B">
        <w:t>&lt; 0,05)</w:t>
      </w:r>
      <w:r w:rsidR="008C4634" w:rsidRPr="008C4634">
        <w:t>. También se apreciaron diferencias</w:t>
      </w:r>
      <w:r w:rsidR="00253C64">
        <w:t xml:space="preserve"> significativas</w:t>
      </w:r>
      <w:r w:rsidR="008C4634" w:rsidRPr="008C4634">
        <w:t xml:space="preserve"> para los SCFA, ya que los niveles de los ácidos acético y propiónico fueron mayores para el grupo Lf2 en comparación con el resto de los tratamientos, mientras que los niveles de ácido butírico de este grupo fueron comparables a los del grupo S y m</w:t>
      </w:r>
      <w:r w:rsidR="003C7B7D">
        <w:t xml:space="preserve">ayores </w:t>
      </w:r>
      <w:r w:rsidR="008C4634" w:rsidRPr="008C4634">
        <w:t>que para el grupo</w:t>
      </w:r>
      <w:r w:rsidR="00925725">
        <w:t xml:space="preserve"> TNBS</w:t>
      </w:r>
      <w:r w:rsidR="008C4634" w:rsidRPr="008C4634">
        <w:t>.</w:t>
      </w:r>
      <w:r w:rsidR="008F3A36">
        <w:t xml:space="preserve"> Por otro lado</w:t>
      </w:r>
      <w:r w:rsidR="008C4634" w:rsidRPr="008C4634">
        <w:t>, se evaluó la composición de la microbiota por secuenciación del gen 16S rRNA</w:t>
      </w:r>
      <w:r w:rsidR="009F134F">
        <w:t>.</w:t>
      </w:r>
      <w:r w:rsidR="006627AC">
        <w:t xml:space="preserve"> A tiempo final se</w:t>
      </w:r>
      <w:r w:rsidR="008C4634" w:rsidRPr="008C4634">
        <w:t xml:space="preserve"> encontró que</w:t>
      </w:r>
      <w:r w:rsidR="006627AC">
        <w:t xml:space="preserve"> el grupo S presentó menor abundancia relativa de </w:t>
      </w:r>
      <w:r w:rsidR="006627AC" w:rsidRPr="006627AC">
        <w:rPr>
          <w:i/>
          <w:iCs/>
        </w:rPr>
        <w:t xml:space="preserve">Bacteroidaceae </w:t>
      </w:r>
      <w:r w:rsidR="006627AC">
        <w:t>que</w:t>
      </w:r>
      <w:r w:rsidR="00F949B2">
        <w:t xml:space="preserve"> </w:t>
      </w:r>
      <w:r w:rsidR="00925725">
        <w:t>TNBS</w:t>
      </w:r>
      <w:r w:rsidR="006627AC">
        <w:t xml:space="preserve"> y Lf2 (</w:t>
      </w:r>
      <w:r w:rsidR="006627AC" w:rsidRPr="006627AC">
        <w:rPr>
          <w:i/>
          <w:iCs/>
        </w:rPr>
        <w:t>p</w:t>
      </w:r>
      <w:r w:rsidR="006627AC">
        <w:t>&lt; 0</w:t>
      </w:r>
      <w:r w:rsidR="00DB4D53">
        <w:t>,</w:t>
      </w:r>
      <w:r w:rsidR="006627AC">
        <w:t xml:space="preserve">05), mientras que el grupo </w:t>
      </w:r>
      <w:r w:rsidR="006627AC" w:rsidRPr="006627AC">
        <w:t xml:space="preserve">EPS </w:t>
      </w:r>
      <w:r w:rsidR="006627AC">
        <w:t>fue</w:t>
      </w:r>
      <w:r w:rsidR="006627AC" w:rsidRPr="006627AC">
        <w:t xml:space="preserve"> similar a S (</w:t>
      </w:r>
      <w:r w:rsidR="006627AC" w:rsidRPr="006627AC">
        <w:rPr>
          <w:i/>
          <w:iCs/>
        </w:rPr>
        <w:t>p</w:t>
      </w:r>
      <w:r w:rsidR="006627AC" w:rsidRPr="006627AC">
        <w:t>&gt;</w:t>
      </w:r>
      <w:r w:rsidR="006627AC">
        <w:t xml:space="preserve"> </w:t>
      </w:r>
      <w:r w:rsidR="006627AC" w:rsidRPr="006627AC">
        <w:t>0</w:t>
      </w:r>
      <w:r w:rsidR="00DB4D53">
        <w:t>,</w:t>
      </w:r>
      <w:r w:rsidR="006627AC" w:rsidRPr="006627AC">
        <w:t>05).</w:t>
      </w:r>
      <w:r w:rsidR="006627AC">
        <w:t xml:space="preserve"> </w:t>
      </w:r>
      <w:r w:rsidR="006627AC" w:rsidRPr="00827629">
        <w:rPr>
          <w:i/>
          <w:iCs/>
        </w:rPr>
        <w:t>Lachnospiraceae</w:t>
      </w:r>
      <w:r w:rsidR="00827629" w:rsidRPr="00827629">
        <w:t xml:space="preserve"> present</w:t>
      </w:r>
      <w:r w:rsidR="00D6650D">
        <w:t>ó</w:t>
      </w:r>
      <w:r w:rsidR="00827629" w:rsidRPr="00827629">
        <w:t xml:space="preserve"> mayor abundancia relativa en</w:t>
      </w:r>
      <w:r w:rsidR="00827629">
        <w:t xml:space="preserve"> </w:t>
      </w:r>
      <w:r w:rsidR="006627AC" w:rsidRPr="00827629">
        <w:t xml:space="preserve">S que </w:t>
      </w:r>
      <w:r w:rsidR="00CA3A58">
        <w:t>TNBS</w:t>
      </w:r>
      <w:r w:rsidR="00F949B2">
        <w:t xml:space="preserve"> </w:t>
      </w:r>
      <w:r w:rsidR="00D6650D">
        <w:t>(</w:t>
      </w:r>
      <w:r w:rsidR="00D6650D" w:rsidRPr="00D6650D">
        <w:rPr>
          <w:i/>
          <w:iCs/>
        </w:rPr>
        <w:t>p</w:t>
      </w:r>
      <w:r w:rsidR="00D6650D">
        <w:t>&lt; 0</w:t>
      </w:r>
      <w:r w:rsidR="00DB4D53">
        <w:t>,</w:t>
      </w:r>
      <w:r w:rsidR="00D6650D">
        <w:t xml:space="preserve">05), siendo </w:t>
      </w:r>
      <w:r w:rsidR="006627AC">
        <w:t xml:space="preserve">EPS y Lf2 similares </w:t>
      </w:r>
      <w:r w:rsidR="00A56EA3">
        <w:t xml:space="preserve">a </w:t>
      </w:r>
      <w:r w:rsidR="006627AC">
        <w:t>a</w:t>
      </w:r>
      <w:r w:rsidR="00CA3A58">
        <w:t>mbos grupos</w:t>
      </w:r>
      <w:r w:rsidR="006627AC">
        <w:t>.</w:t>
      </w:r>
      <w:r w:rsidR="00D6650D">
        <w:t xml:space="preserve"> Con respecto a </w:t>
      </w:r>
      <w:r w:rsidR="006627AC" w:rsidRPr="00D6650D">
        <w:rPr>
          <w:i/>
          <w:iCs/>
        </w:rPr>
        <w:t>Ruminococcaceae</w:t>
      </w:r>
      <w:r w:rsidR="000C2982" w:rsidRPr="000C2982">
        <w:t>, L</w:t>
      </w:r>
      <w:r w:rsidR="006627AC" w:rsidRPr="000C2982">
        <w:t>f2</w:t>
      </w:r>
      <w:r w:rsidR="006627AC">
        <w:t xml:space="preserve"> </w:t>
      </w:r>
      <w:r w:rsidR="000C2982">
        <w:t xml:space="preserve">mostró niveles </w:t>
      </w:r>
      <w:r w:rsidR="006627AC">
        <w:t>más alto</w:t>
      </w:r>
      <w:r w:rsidR="000C2982">
        <w:t>s</w:t>
      </w:r>
      <w:r w:rsidR="006627AC">
        <w:t xml:space="preserve"> que TNBS </w:t>
      </w:r>
      <w:r w:rsidR="000C2982">
        <w:t>(</w:t>
      </w:r>
      <w:r w:rsidR="006627AC" w:rsidRPr="000C2982">
        <w:rPr>
          <w:i/>
          <w:iCs/>
        </w:rPr>
        <w:t>p</w:t>
      </w:r>
      <w:r w:rsidR="006627AC">
        <w:t>&lt;</w:t>
      </w:r>
      <w:r w:rsidR="000C2982">
        <w:t xml:space="preserve"> </w:t>
      </w:r>
      <w:r w:rsidR="006627AC">
        <w:t>0</w:t>
      </w:r>
      <w:r w:rsidR="00DB4D53">
        <w:t>,</w:t>
      </w:r>
      <w:r w:rsidR="006627AC">
        <w:t>05</w:t>
      </w:r>
      <w:r w:rsidR="000C2982">
        <w:t>)</w:t>
      </w:r>
      <w:r w:rsidR="006353CA">
        <w:t xml:space="preserve">, y </w:t>
      </w:r>
      <w:r w:rsidR="0030760A">
        <w:t xml:space="preserve">el </w:t>
      </w:r>
      <w:r w:rsidR="0030760A">
        <w:lastRenderedPageBreak/>
        <w:t xml:space="preserve">grupo EPS tuvo mayor abundancia </w:t>
      </w:r>
      <w:r w:rsidR="00AE6846">
        <w:t xml:space="preserve">relativa </w:t>
      </w:r>
      <w:r w:rsidR="0030760A">
        <w:t xml:space="preserve">de </w:t>
      </w:r>
      <w:r w:rsidR="006627AC" w:rsidRPr="0030760A">
        <w:rPr>
          <w:i/>
          <w:iCs/>
        </w:rPr>
        <w:t>Lactobacillaceae</w:t>
      </w:r>
      <w:r w:rsidR="0030760A">
        <w:rPr>
          <w:i/>
          <w:iCs/>
        </w:rPr>
        <w:t xml:space="preserve"> </w:t>
      </w:r>
      <w:r w:rsidR="006627AC">
        <w:t xml:space="preserve">que </w:t>
      </w:r>
      <w:r w:rsidR="0019423C">
        <w:t>TNBS</w:t>
      </w:r>
      <w:r w:rsidR="006627AC">
        <w:t xml:space="preserve"> </w:t>
      </w:r>
      <w:r w:rsidR="0030760A">
        <w:t>(</w:t>
      </w:r>
      <w:r w:rsidR="006627AC" w:rsidRPr="0030760A">
        <w:rPr>
          <w:i/>
          <w:iCs/>
        </w:rPr>
        <w:t>p</w:t>
      </w:r>
      <w:r w:rsidR="006627AC">
        <w:t>&lt;</w:t>
      </w:r>
      <w:r w:rsidR="0030760A">
        <w:t xml:space="preserve"> </w:t>
      </w:r>
      <w:r w:rsidR="006627AC">
        <w:t>0</w:t>
      </w:r>
      <w:r w:rsidR="00DB4D53">
        <w:t>,</w:t>
      </w:r>
      <w:r w:rsidR="006627AC">
        <w:t>05</w:t>
      </w:r>
      <w:r w:rsidR="0030760A">
        <w:t>).</w:t>
      </w:r>
      <w:r w:rsidR="008C4634" w:rsidRPr="008C4634">
        <w:t xml:space="preserve"> </w:t>
      </w:r>
      <w:r w:rsidR="008D04E9">
        <w:t xml:space="preserve">Asimismo, por </w:t>
      </w:r>
      <w:r w:rsidR="008C4634" w:rsidRPr="008C4634">
        <w:t>SEM</w:t>
      </w:r>
      <w:r w:rsidR="008D04E9">
        <w:t xml:space="preserve"> </w:t>
      </w:r>
      <w:r w:rsidR="0019423C">
        <w:t xml:space="preserve">(microscopía </w:t>
      </w:r>
      <w:r w:rsidR="00DF79E3">
        <w:t xml:space="preserve">electrónica </w:t>
      </w:r>
      <w:r w:rsidR="0019423C">
        <w:t xml:space="preserve">de barrido) </w:t>
      </w:r>
      <w:r w:rsidR="008D04E9">
        <w:t>se encontró que</w:t>
      </w:r>
      <w:r w:rsidR="0019423C">
        <w:t xml:space="preserve"> </w:t>
      </w:r>
      <w:r w:rsidR="008C4634" w:rsidRPr="008C4634">
        <w:t xml:space="preserve">EPS y Lf2 no </w:t>
      </w:r>
      <w:r w:rsidR="00CF353E">
        <w:t xml:space="preserve">presentaron </w:t>
      </w:r>
      <w:r w:rsidR="008C4634" w:rsidRPr="008C4634">
        <w:t>infiltraciones</w:t>
      </w:r>
      <w:r w:rsidR="00DF79E3">
        <w:t xml:space="preserve"> en el epitelio intestinal</w:t>
      </w:r>
      <w:r w:rsidR="008C4634" w:rsidRPr="008C4634">
        <w:t>, a diferencia del grupo TNBS. A partir de estos resultados, se pone en manifiesto la potencialidad</w:t>
      </w:r>
      <w:r w:rsidR="005B7ACA">
        <w:t xml:space="preserve"> </w:t>
      </w:r>
      <w:r w:rsidR="008C4634" w:rsidRPr="008C4634">
        <w:t>de la cepa</w:t>
      </w:r>
      <w:r w:rsidR="005B7ACA">
        <w:t xml:space="preserve"> y </w:t>
      </w:r>
      <w:r w:rsidR="008C4634" w:rsidRPr="008C4634">
        <w:t xml:space="preserve">sus EPS para ser aplicados como ingredientes funcionales, y se puede sugerir una relación entre los efectos de la cepa y estas moléculas. </w:t>
      </w:r>
    </w:p>
    <w:p w14:paraId="25F1283B" w14:textId="77777777" w:rsidR="008C4634" w:rsidRDefault="008C4634" w:rsidP="008C4634">
      <w:pPr>
        <w:spacing w:after="0" w:line="240" w:lineRule="auto"/>
        <w:ind w:left="0" w:hanging="2"/>
        <w:rPr>
          <w:i/>
          <w:iCs/>
        </w:rPr>
      </w:pPr>
    </w:p>
    <w:p w14:paraId="60A02B8F" w14:textId="77777777" w:rsidR="004D736B" w:rsidRPr="00A14618" w:rsidRDefault="004D736B">
      <w:pPr>
        <w:spacing w:after="0" w:line="240" w:lineRule="auto"/>
        <w:ind w:left="0" w:hanging="2"/>
      </w:pPr>
    </w:p>
    <w:p w14:paraId="2D678878" w14:textId="01F18054" w:rsidR="00E73DD7" w:rsidRDefault="00945508">
      <w:pPr>
        <w:spacing w:after="0" w:line="240" w:lineRule="auto"/>
        <w:ind w:left="0" w:hanging="2"/>
      </w:pPr>
      <w:r>
        <w:t xml:space="preserve">Palabras Clave: </w:t>
      </w:r>
      <w:r w:rsidR="00AF6347">
        <w:t xml:space="preserve">EXOPOLISACÁRIDOS, </w:t>
      </w:r>
      <w:r w:rsidR="00D62949">
        <w:t>BACTERIA ÁCIDO LÁCTICA, COLITIS CRÓNICA, MICROBIOTA</w:t>
      </w:r>
      <w:r w:rsidR="00ED6663">
        <w:t xml:space="preserve"> INTESTINAL.</w:t>
      </w:r>
    </w:p>
    <w:sectPr w:rsidR="00E73DD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8A21" w14:textId="77777777" w:rsidR="0004786D" w:rsidRDefault="000478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46EFF2" w14:textId="77777777" w:rsidR="0004786D" w:rsidRDefault="000478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C2A6" w14:textId="77777777" w:rsidR="0004786D" w:rsidRDefault="000478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452B63" w14:textId="77777777" w:rsidR="0004786D" w:rsidRDefault="000478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8879" w14:textId="77777777" w:rsidR="00E73DD7" w:rsidRDefault="009455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67887A" wp14:editId="2D6788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ED9"/>
    <w:multiLevelType w:val="hybridMultilevel"/>
    <w:tmpl w:val="E7E60012"/>
    <w:lvl w:ilvl="0" w:tplc="9E5A6CC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2326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7"/>
    <w:rsid w:val="00013FFD"/>
    <w:rsid w:val="0001703C"/>
    <w:rsid w:val="00017448"/>
    <w:rsid w:val="0002356B"/>
    <w:rsid w:val="00025056"/>
    <w:rsid w:val="000323F6"/>
    <w:rsid w:val="00040F59"/>
    <w:rsid w:val="0004786D"/>
    <w:rsid w:val="000508F1"/>
    <w:rsid w:val="00062DAF"/>
    <w:rsid w:val="0007036F"/>
    <w:rsid w:val="000A1772"/>
    <w:rsid w:val="000A5F1D"/>
    <w:rsid w:val="000B140E"/>
    <w:rsid w:val="000B72F9"/>
    <w:rsid w:val="000C1D9D"/>
    <w:rsid w:val="000C2982"/>
    <w:rsid w:val="000C7536"/>
    <w:rsid w:val="000D277F"/>
    <w:rsid w:val="000D3CFC"/>
    <w:rsid w:val="000E6E78"/>
    <w:rsid w:val="000E76B0"/>
    <w:rsid w:val="000F2583"/>
    <w:rsid w:val="001053E7"/>
    <w:rsid w:val="0013110E"/>
    <w:rsid w:val="00155E36"/>
    <w:rsid w:val="0018170B"/>
    <w:rsid w:val="001824B0"/>
    <w:rsid w:val="0019423C"/>
    <w:rsid w:val="001B1BBA"/>
    <w:rsid w:val="001B4BEE"/>
    <w:rsid w:val="001B7824"/>
    <w:rsid w:val="001D03FA"/>
    <w:rsid w:val="001E13EF"/>
    <w:rsid w:val="001F2FD6"/>
    <w:rsid w:val="00205CFD"/>
    <w:rsid w:val="00253C64"/>
    <w:rsid w:val="00262072"/>
    <w:rsid w:val="002639E1"/>
    <w:rsid w:val="00264119"/>
    <w:rsid w:val="0027079A"/>
    <w:rsid w:val="00290752"/>
    <w:rsid w:val="002A3A8C"/>
    <w:rsid w:val="002B6F0B"/>
    <w:rsid w:val="002F1BA6"/>
    <w:rsid w:val="0030760A"/>
    <w:rsid w:val="00312A84"/>
    <w:rsid w:val="0032001D"/>
    <w:rsid w:val="003214F3"/>
    <w:rsid w:val="003222D9"/>
    <w:rsid w:val="003251D2"/>
    <w:rsid w:val="00332B09"/>
    <w:rsid w:val="00333D3D"/>
    <w:rsid w:val="00372F17"/>
    <w:rsid w:val="00391B52"/>
    <w:rsid w:val="00396C63"/>
    <w:rsid w:val="00397284"/>
    <w:rsid w:val="003A4A5D"/>
    <w:rsid w:val="003A63FD"/>
    <w:rsid w:val="003C2B82"/>
    <w:rsid w:val="003C7B7D"/>
    <w:rsid w:val="003C7E2C"/>
    <w:rsid w:val="003F33DD"/>
    <w:rsid w:val="0040142D"/>
    <w:rsid w:val="004074CE"/>
    <w:rsid w:val="00443350"/>
    <w:rsid w:val="00445E1D"/>
    <w:rsid w:val="00452F60"/>
    <w:rsid w:val="004715B9"/>
    <w:rsid w:val="004878F8"/>
    <w:rsid w:val="004A326D"/>
    <w:rsid w:val="004A6F4C"/>
    <w:rsid w:val="004B1010"/>
    <w:rsid w:val="004D0256"/>
    <w:rsid w:val="004D1255"/>
    <w:rsid w:val="004D6A36"/>
    <w:rsid w:val="004D736B"/>
    <w:rsid w:val="004E552B"/>
    <w:rsid w:val="004F27A4"/>
    <w:rsid w:val="004F50AD"/>
    <w:rsid w:val="00504BE9"/>
    <w:rsid w:val="0051407F"/>
    <w:rsid w:val="00532E64"/>
    <w:rsid w:val="0055595B"/>
    <w:rsid w:val="0057462F"/>
    <w:rsid w:val="00576F1E"/>
    <w:rsid w:val="005A4383"/>
    <w:rsid w:val="005B47AC"/>
    <w:rsid w:val="005B7ACA"/>
    <w:rsid w:val="005C4DFC"/>
    <w:rsid w:val="005C5D39"/>
    <w:rsid w:val="005D3C3C"/>
    <w:rsid w:val="006033BE"/>
    <w:rsid w:val="00632ACE"/>
    <w:rsid w:val="00633BD6"/>
    <w:rsid w:val="006353CA"/>
    <w:rsid w:val="00654908"/>
    <w:rsid w:val="006627AC"/>
    <w:rsid w:val="00664232"/>
    <w:rsid w:val="00672D0E"/>
    <w:rsid w:val="0067561E"/>
    <w:rsid w:val="00680D91"/>
    <w:rsid w:val="00683DFD"/>
    <w:rsid w:val="00685407"/>
    <w:rsid w:val="006A0150"/>
    <w:rsid w:val="006C3A89"/>
    <w:rsid w:val="006C7AC3"/>
    <w:rsid w:val="006E5A6C"/>
    <w:rsid w:val="006E74B7"/>
    <w:rsid w:val="0071382D"/>
    <w:rsid w:val="00715E83"/>
    <w:rsid w:val="00730E22"/>
    <w:rsid w:val="00740B91"/>
    <w:rsid w:val="00742F66"/>
    <w:rsid w:val="0075628E"/>
    <w:rsid w:val="00784BCE"/>
    <w:rsid w:val="00787BCD"/>
    <w:rsid w:val="007966C8"/>
    <w:rsid w:val="007967D3"/>
    <w:rsid w:val="007972D1"/>
    <w:rsid w:val="007A41F4"/>
    <w:rsid w:val="007B631B"/>
    <w:rsid w:val="007C310F"/>
    <w:rsid w:val="007C6E0A"/>
    <w:rsid w:val="007D3F44"/>
    <w:rsid w:val="007D5100"/>
    <w:rsid w:val="007E671F"/>
    <w:rsid w:val="007E6E4B"/>
    <w:rsid w:val="007F0366"/>
    <w:rsid w:val="008160A4"/>
    <w:rsid w:val="00827629"/>
    <w:rsid w:val="008304FF"/>
    <w:rsid w:val="00854892"/>
    <w:rsid w:val="00854F1B"/>
    <w:rsid w:val="00857186"/>
    <w:rsid w:val="00865264"/>
    <w:rsid w:val="00875674"/>
    <w:rsid w:val="00876F09"/>
    <w:rsid w:val="008906D6"/>
    <w:rsid w:val="008A0DDD"/>
    <w:rsid w:val="008A341C"/>
    <w:rsid w:val="008A4B0F"/>
    <w:rsid w:val="008A6D43"/>
    <w:rsid w:val="008B1792"/>
    <w:rsid w:val="008B34CB"/>
    <w:rsid w:val="008B5613"/>
    <w:rsid w:val="008C35C6"/>
    <w:rsid w:val="008C4634"/>
    <w:rsid w:val="008D01AB"/>
    <w:rsid w:val="008D04E9"/>
    <w:rsid w:val="008D73AA"/>
    <w:rsid w:val="008F03F6"/>
    <w:rsid w:val="008F3A36"/>
    <w:rsid w:val="009104F9"/>
    <w:rsid w:val="0092178B"/>
    <w:rsid w:val="00925725"/>
    <w:rsid w:val="009301D9"/>
    <w:rsid w:val="00937921"/>
    <w:rsid w:val="00942E17"/>
    <w:rsid w:val="00945508"/>
    <w:rsid w:val="0095700B"/>
    <w:rsid w:val="00981705"/>
    <w:rsid w:val="009A3B74"/>
    <w:rsid w:val="009B3317"/>
    <w:rsid w:val="009B6030"/>
    <w:rsid w:val="009B62C7"/>
    <w:rsid w:val="009B63D6"/>
    <w:rsid w:val="009B65CE"/>
    <w:rsid w:val="009B6782"/>
    <w:rsid w:val="009C115C"/>
    <w:rsid w:val="009C5CBA"/>
    <w:rsid w:val="009E0A20"/>
    <w:rsid w:val="009E1797"/>
    <w:rsid w:val="009E6A05"/>
    <w:rsid w:val="009F134F"/>
    <w:rsid w:val="009F7E49"/>
    <w:rsid w:val="00A10FEB"/>
    <w:rsid w:val="00A14618"/>
    <w:rsid w:val="00A229CF"/>
    <w:rsid w:val="00A37516"/>
    <w:rsid w:val="00A40028"/>
    <w:rsid w:val="00A431A0"/>
    <w:rsid w:val="00A55032"/>
    <w:rsid w:val="00A5551A"/>
    <w:rsid w:val="00A56BA9"/>
    <w:rsid w:val="00A56EA3"/>
    <w:rsid w:val="00A62842"/>
    <w:rsid w:val="00A80583"/>
    <w:rsid w:val="00A87993"/>
    <w:rsid w:val="00AB4224"/>
    <w:rsid w:val="00AC0726"/>
    <w:rsid w:val="00AD0A89"/>
    <w:rsid w:val="00AE36D3"/>
    <w:rsid w:val="00AE39A2"/>
    <w:rsid w:val="00AE6846"/>
    <w:rsid w:val="00AF6347"/>
    <w:rsid w:val="00B107AB"/>
    <w:rsid w:val="00B37D6A"/>
    <w:rsid w:val="00B4239D"/>
    <w:rsid w:val="00B5178B"/>
    <w:rsid w:val="00B55F51"/>
    <w:rsid w:val="00B60497"/>
    <w:rsid w:val="00B63111"/>
    <w:rsid w:val="00B7515A"/>
    <w:rsid w:val="00B764AA"/>
    <w:rsid w:val="00B77F7E"/>
    <w:rsid w:val="00B83278"/>
    <w:rsid w:val="00B87F05"/>
    <w:rsid w:val="00BA4F95"/>
    <w:rsid w:val="00BC179C"/>
    <w:rsid w:val="00BE46B2"/>
    <w:rsid w:val="00BF59C9"/>
    <w:rsid w:val="00BF7ECA"/>
    <w:rsid w:val="00C04EBB"/>
    <w:rsid w:val="00C102D8"/>
    <w:rsid w:val="00C30833"/>
    <w:rsid w:val="00C4151A"/>
    <w:rsid w:val="00C57F80"/>
    <w:rsid w:val="00C83D47"/>
    <w:rsid w:val="00C87BE7"/>
    <w:rsid w:val="00C94834"/>
    <w:rsid w:val="00CA3A58"/>
    <w:rsid w:val="00CA6971"/>
    <w:rsid w:val="00CB55FB"/>
    <w:rsid w:val="00CE711D"/>
    <w:rsid w:val="00CF108F"/>
    <w:rsid w:val="00CF353E"/>
    <w:rsid w:val="00D15D47"/>
    <w:rsid w:val="00D35BC3"/>
    <w:rsid w:val="00D35C7C"/>
    <w:rsid w:val="00D414B2"/>
    <w:rsid w:val="00D4322E"/>
    <w:rsid w:val="00D57571"/>
    <w:rsid w:val="00D62949"/>
    <w:rsid w:val="00D62A48"/>
    <w:rsid w:val="00D6650D"/>
    <w:rsid w:val="00D7497A"/>
    <w:rsid w:val="00D9397B"/>
    <w:rsid w:val="00DB1613"/>
    <w:rsid w:val="00DB4D53"/>
    <w:rsid w:val="00DC50DC"/>
    <w:rsid w:val="00DF79E3"/>
    <w:rsid w:val="00E0062E"/>
    <w:rsid w:val="00E059DA"/>
    <w:rsid w:val="00E103D8"/>
    <w:rsid w:val="00E1676E"/>
    <w:rsid w:val="00E33A06"/>
    <w:rsid w:val="00E65D46"/>
    <w:rsid w:val="00E73DD7"/>
    <w:rsid w:val="00E91170"/>
    <w:rsid w:val="00EA6B04"/>
    <w:rsid w:val="00EB41C7"/>
    <w:rsid w:val="00EB74AC"/>
    <w:rsid w:val="00EC0E4F"/>
    <w:rsid w:val="00EC2916"/>
    <w:rsid w:val="00ED6663"/>
    <w:rsid w:val="00EE12DB"/>
    <w:rsid w:val="00EE435A"/>
    <w:rsid w:val="00EF1DED"/>
    <w:rsid w:val="00EF4A5B"/>
    <w:rsid w:val="00F032B0"/>
    <w:rsid w:val="00F52404"/>
    <w:rsid w:val="00F73579"/>
    <w:rsid w:val="00F77B2B"/>
    <w:rsid w:val="00F81326"/>
    <w:rsid w:val="00F82C0E"/>
    <w:rsid w:val="00F949B2"/>
    <w:rsid w:val="00F94F03"/>
    <w:rsid w:val="00FB3510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869"/>
  <w15:docId w15:val="{DCB55EA1-0A66-488A-B844-11AEE24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1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590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 Ale</cp:lastModifiedBy>
  <cp:revision>275</cp:revision>
  <dcterms:created xsi:type="dcterms:W3CDTF">2020-02-19T22:08:00Z</dcterms:created>
  <dcterms:modified xsi:type="dcterms:W3CDTF">2022-06-30T19:24:00Z</dcterms:modified>
</cp:coreProperties>
</file>