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D232" w14:textId="426B0286" w:rsidR="00947E54" w:rsidRDefault="0006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Cambios estructurales en semillas de quinoa blanca y roja por efecto</w:t>
      </w:r>
      <w:r w:rsidR="0027073F">
        <w:rPr>
          <w:b/>
          <w:color w:val="000000"/>
        </w:rPr>
        <w:t xml:space="preserve"> de la germinación </w:t>
      </w:r>
    </w:p>
    <w:p w14:paraId="59237F3C" w14:textId="77777777" w:rsidR="00947E54" w:rsidRDefault="00947E54">
      <w:pPr>
        <w:spacing w:after="0" w:line="240" w:lineRule="auto"/>
        <w:ind w:left="0" w:hanging="2"/>
        <w:jc w:val="center"/>
      </w:pPr>
    </w:p>
    <w:p w14:paraId="68B15EC8" w14:textId="77777777" w:rsidR="003152B8" w:rsidRPr="00F27C49" w:rsidRDefault="003152B8" w:rsidP="003152B8">
      <w:pPr>
        <w:spacing w:after="0" w:line="240" w:lineRule="auto"/>
        <w:ind w:left="0" w:hanging="2"/>
        <w:jc w:val="center"/>
      </w:pPr>
      <w:r w:rsidRPr="00F27C49">
        <w:t>Guardianelli LM (1), Salinas MV (1), Puppo MC (1, 2)</w:t>
      </w:r>
    </w:p>
    <w:p w14:paraId="25888F65" w14:textId="77777777" w:rsidR="00947E54" w:rsidRDefault="00947E54">
      <w:pPr>
        <w:spacing w:after="0" w:line="240" w:lineRule="auto"/>
        <w:ind w:left="0" w:hanging="2"/>
        <w:jc w:val="center"/>
      </w:pPr>
    </w:p>
    <w:p w14:paraId="5C080E90" w14:textId="77777777" w:rsidR="003152B8" w:rsidRPr="00F27C49" w:rsidRDefault="003152B8" w:rsidP="003152B8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lang w:val="es-ES"/>
        </w:rPr>
      </w:pPr>
      <w:r w:rsidRPr="00F27C49">
        <w:rPr>
          <w:rFonts w:ascii="Arial" w:hAnsi="Arial" w:cs="Arial"/>
          <w:color w:val="000000"/>
          <w:lang w:val="es-ES"/>
        </w:rPr>
        <w:t>(1) Centro de Investigación y Desarrollo en Criotecnología de Alimentos (CIDCA)-Fac. Ciencias Exactas-UNLP-CONICET-CIC, 47 y 116, 1900 La Plata, Buenos Aires, Argentina.</w:t>
      </w:r>
    </w:p>
    <w:p w14:paraId="3C2392C3" w14:textId="77777777" w:rsidR="003152B8" w:rsidRPr="00F27C49" w:rsidRDefault="003152B8" w:rsidP="003152B8">
      <w:pPr>
        <w:spacing w:after="0" w:line="240" w:lineRule="auto"/>
        <w:ind w:left="0" w:hanging="2"/>
      </w:pPr>
      <w:r w:rsidRPr="00F27C49">
        <w:rPr>
          <w:color w:val="000000"/>
          <w:lang w:val="es-ES"/>
        </w:rPr>
        <w:t xml:space="preserve">(2) </w:t>
      </w:r>
      <w:r w:rsidRPr="00F27C49">
        <w:t>Facultad de Ciencias Agrarias y Forestales-Universidad Nacional de La Plata. 60 y 119, 1900 La Plata, Buenos Aires, Argentina.</w:t>
      </w:r>
    </w:p>
    <w:p w14:paraId="341AF34E" w14:textId="77777777" w:rsidR="003152B8" w:rsidRDefault="003152B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2A66758" w14:textId="3ACF0C63" w:rsidR="00947E54" w:rsidRDefault="0046166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</w:p>
    <w:p w14:paraId="34D779AE" w14:textId="0DF95103" w:rsidR="00947E54" w:rsidRDefault="00724F19">
      <w:pPr>
        <w:spacing w:after="0" w:line="240" w:lineRule="auto"/>
        <w:ind w:left="0" w:hanging="2"/>
      </w:pPr>
      <w:hyperlink r:id="rId7" w:history="1">
        <w:r w:rsidR="003152B8" w:rsidRPr="00DC1358">
          <w:rPr>
            <w:rStyle w:val="Hipervnculo"/>
          </w:rPr>
          <w:t>luchoguardianelli@gmail.com</w:t>
        </w:r>
      </w:hyperlink>
    </w:p>
    <w:p w14:paraId="0DDBAF97" w14:textId="77777777" w:rsidR="003152B8" w:rsidRDefault="003152B8">
      <w:pPr>
        <w:spacing w:after="0" w:line="240" w:lineRule="auto"/>
        <w:ind w:left="0" w:hanging="2"/>
      </w:pPr>
    </w:p>
    <w:p w14:paraId="4963D277" w14:textId="77777777" w:rsidR="00947E54" w:rsidRDefault="00461664">
      <w:pPr>
        <w:spacing w:after="0" w:line="240" w:lineRule="auto"/>
        <w:ind w:left="0" w:hanging="2"/>
      </w:pPr>
      <w:r>
        <w:t>RESUMEN</w:t>
      </w:r>
    </w:p>
    <w:p w14:paraId="158DF94C" w14:textId="77777777" w:rsidR="00947E54" w:rsidRDefault="00947E54">
      <w:pPr>
        <w:spacing w:after="0" w:line="240" w:lineRule="auto"/>
        <w:ind w:left="0" w:hanging="2"/>
      </w:pPr>
    </w:p>
    <w:p w14:paraId="34FBAADC" w14:textId="48D6AB21" w:rsidR="00CA4899" w:rsidRPr="00E23DC3" w:rsidRDefault="004C7921" w:rsidP="00E23DC3">
      <w:pPr>
        <w:spacing w:after="0" w:line="240" w:lineRule="auto"/>
        <w:ind w:leftChars="0" w:left="0" w:firstLineChars="0" w:firstLine="0"/>
        <w:rPr>
          <w:color w:val="000000"/>
        </w:rPr>
      </w:pPr>
      <w:r w:rsidRPr="00E23DC3">
        <w:rPr>
          <w:bCs/>
        </w:rPr>
        <w:t>La semilla de quinoa (</w:t>
      </w:r>
      <w:r w:rsidRPr="00E23DC3">
        <w:rPr>
          <w:bCs/>
          <w:i/>
        </w:rPr>
        <w:t>Chenopodium quin</w:t>
      </w:r>
      <w:r w:rsidR="00591BB1" w:rsidRPr="00E23DC3">
        <w:rPr>
          <w:bCs/>
          <w:i/>
        </w:rPr>
        <w:t>o</w:t>
      </w:r>
      <w:r w:rsidRPr="00E23DC3">
        <w:rPr>
          <w:bCs/>
          <w:i/>
        </w:rPr>
        <w:t>a</w:t>
      </w:r>
      <w:r w:rsidRPr="00E23DC3">
        <w:rPr>
          <w:bCs/>
        </w:rPr>
        <w:t>) resulta un alimento importante desde el punto de vista nutricional</w:t>
      </w:r>
      <w:r w:rsidR="00992B38">
        <w:rPr>
          <w:bCs/>
        </w:rPr>
        <w:t xml:space="preserve"> </w:t>
      </w:r>
      <w:r w:rsidR="00FD4FBF">
        <w:rPr>
          <w:bCs/>
        </w:rPr>
        <w:t xml:space="preserve">dado </w:t>
      </w:r>
      <w:r w:rsidR="00992B38">
        <w:rPr>
          <w:bCs/>
        </w:rPr>
        <w:t xml:space="preserve">que posee entre un </w:t>
      </w:r>
      <w:r w:rsidR="00992B38" w:rsidRPr="00E23DC3">
        <w:rPr>
          <w:color w:val="000000"/>
        </w:rPr>
        <w:t xml:space="preserve">12-23% </w:t>
      </w:r>
      <w:r w:rsidR="00992B38">
        <w:rPr>
          <w:color w:val="000000"/>
        </w:rPr>
        <w:t xml:space="preserve">de proteínas </w:t>
      </w:r>
      <w:r w:rsidR="00992B38" w:rsidRPr="00E23DC3">
        <w:rPr>
          <w:color w:val="000000"/>
        </w:rPr>
        <w:t>en base seca</w:t>
      </w:r>
      <w:r w:rsidR="00992B38">
        <w:rPr>
          <w:color w:val="000000"/>
        </w:rPr>
        <w:t xml:space="preserve"> con </w:t>
      </w:r>
      <w:r w:rsidR="00FD4FBF">
        <w:rPr>
          <w:color w:val="000000"/>
        </w:rPr>
        <w:t>un excelente</w:t>
      </w:r>
      <w:r w:rsidR="00706B57" w:rsidRPr="00E23DC3">
        <w:rPr>
          <w:color w:val="222222"/>
        </w:rPr>
        <w:t xml:space="preserve"> equilibrio de aminoácidos esenciales</w:t>
      </w:r>
      <w:r w:rsidR="00C16890" w:rsidRPr="00E23DC3">
        <w:rPr>
          <w:color w:val="000000"/>
        </w:rPr>
        <w:t>. Su contenido lipídico puede alcanzar hasta un 8%,</w:t>
      </w:r>
      <w:r w:rsidR="004E2B42" w:rsidRPr="00E23DC3">
        <w:rPr>
          <w:color w:val="000000"/>
        </w:rPr>
        <w:t xml:space="preserve"> siendo en su mayoría ácidos grasos insaturados</w:t>
      </w:r>
      <w:r w:rsidRPr="00E23DC3">
        <w:rPr>
          <w:color w:val="000000"/>
        </w:rPr>
        <w:t>.</w:t>
      </w:r>
      <w:r w:rsidR="00C16890" w:rsidRPr="00E23DC3">
        <w:rPr>
          <w:color w:val="000000"/>
        </w:rPr>
        <w:t xml:space="preserve"> Además, contiene </w:t>
      </w:r>
      <w:r w:rsidR="00A14713">
        <w:rPr>
          <w:color w:val="000000"/>
        </w:rPr>
        <w:t xml:space="preserve">mayores </w:t>
      </w:r>
      <w:r w:rsidR="00C16890" w:rsidRPr="00E23DC3">
        <w:rPr>
          <w:color w:val="000000"/>
        </w:rPr>
        <w:t xml:space="preserve">cantidades de calcio, hierro, zinc y magnesio, </w:t>
      </w:r>
      <w:r w:rsidR="00092E70">
        <w:rPr>
          <w:color w:val="000000"/>
        </w:rPr>
        <w:t>respecto a</w:t>
      </w:r>
      <w:r w:rsidR="00C16890" w:rsidRPr="00E23DC3">
        <w:rPr>
          <w:color w:val="000000"/>
        </w:rPr>
        <w:t xml:space="preserve"> los cereales más comunes.</w:t>
      </w:r>
      <w:r w:rsidR="00A31B68" w:rsidRPr="00E23DC3">
        <w:rPr>
          <w:color w:val="000000"/>
        </w:rPr>
        <w:t xml:space="preserve"> </w:t>
      </w:r>
      <w:r w:rsidR="00C16890" w:rsidRPr="00E23DC3">
        <w:t>Actualmente existe un gran interés en la aplicación de una germinación controlada para obtener granos y semillas con mejores características nutricionales.</w:t>
      </w:r>
      <w:r w:rsidR="00C7116F" w:rsidRPr="00E23DC3">
        <w:rPr>
          <w:color w:val="000000"/>
        </w:rPr>
        <w:t xml:space="preserve"> </w:t>
      </w:r>
      <w:r w:rsidR="00C16890" w:rsidRPr="00E23DC3">
        <w:rPr>
          <w:color w:val="000000"/>
        </w:rPr>
        <w:t xml:space="preserve">Mediante la germinación se producen cambios sustanciales en la composición bioquímica de los granos: las reservas de almidón son removidas </w:t>
      </w:r>
      <w:r w:rsidR="00EB42E2">
        <w:rPr>
          <w:color w:val="000000"/>
        </w:rPr>
        <w:t>mediante</w:t>
      </w:r>
      <w:r w:rsidR="00F52A7A" w:rsidRPr="00E23DC3">
        <w:rPr>
          <w:color w:val="000000"/>
        </w:rPr>
        <w:t xml:space="preserve"> </w:t>
      </w:r>
      <w:r w:rsidR="00C16890" w:rsidRPr="00E23DC3">
        <w:rPr>
          <w:color w:val="000000"/>
        </w:rPr>
        <w:t>amilasa</w:t>
      </w:r>
      <w:r w:rsidR="00F52A7A" w:rsidRPr="00E23DC3">
        <w:rPr>
          <w:color w:val="000000"/>
        </w:rPr>
        <w:t>s</w:t>
      </w:r>
      <w:r w:rsidR="00C16890" w:rsidRPr="00E23DC3">
        <w:rPr>
          <w:color w:val="000000"/>
        </w:rPr>
        <w:t xml:space="preserve">; las </w:t>
      </w:r>
      <w:r w:rsidR="00F52A7A" w:rsidRPr="00E23DC3">
        <w:rPr>
          <w:color w:val="000000"/>
        </w:rPr>
        <w:t xml:space="preserve">proteínas </w:t>
      </w:r>
      <w:r w:rsidR="00C16890" w:rsidRPr="00E23DC3">
        <w:rPr>
          <w:color w:val="000000"/>
        </w:rPr>
        <w:t xml:space="preserve">se desplazan hacia oligopéptidos y aminoácidos libres, y la composición de los aminoácidos también cambia. </w:t>
      </w:r>
      <w:r w:rsidR="00F52A7A" w:rsidRPr="00E23DC3">
        <w:rPr>
          <w:color w:val="000000"/>
        </w:rPr>
        <w:t>Los triglicéridos se hidrolizan</w:t>
      </w:r>
      <w:r w:rsidR="00C16890" w:rsidRPr="00E23DC3">
        <w:rPr>
          <w:color w:val="000000"/>
        </w:rPr>
        <w:t xml:space="preserve"> y la proporción de ácidos grasos saturados/insaturados se modifica;</w:t>
      </w:r>
      <w:r w:rsidR="00B921D5" w:rsidRPr="00E23DC3">
        <w:rPr>
          <w:color w:val="000000"/>
        </w:rPr>
        <w:t xml:space="preserve"> entre otros procesos</w:t>
      </w:r>
      <w:r w:rsidR="00C7116F" w:rsidRPr="00E23DC3">
        <w:rPr>
          <w:color w:val="000000"/>
        </w:rPr>
        <w:t>.</w:t>
      </w:r>
      <w:r w:rsidR="00B96DD4" w:rsidRPr="00E23DC3">
        <w:rPr>
          <w:color w:val="000000"/>
        </w:rPr>
        <w:t xml:space="preserve"> </w:t>
      </w:r>
      <w:r w:rsidR="00B921D5" w:rsidRPr="00E23DC3">
        <w:rPr>
          <w:color w:val="000000"/>
        </w:rPr>
        <w:t>Dichos fenómenos</w:t>
      </w:r>
      <w:r w:rsidR="00B96DD4" w:rsidRPr="00E23DC3">
        <w:rPr>
          <w:color w:val="000000"/>
        </w:rPr>
        <w:t xml:space="preserve"> </w:t>
      </w:r>
      <w:r w:rsidR="00992B38">
        <w:rPr>
          <w:color w:val="000000"/>
        </w:rPr>
        <w:t xml:space="preserve">podrían </w:t>
      </w:r>
      <w:r w:rsidR="00FD4FBF" w:rsidRPr="00E23DC3">
        <w:rPr>
          <w:color w:val="000000"/>
        </w:rPr>
        <w:t>genera</w:t>
      </w:r>
      <w:r w:rsidR="00FD4FBF">
        <w:rPr>
          <w:color w:val="000000"/>
        </w:rPr>
        <w:t>r</w:t>
      </w:r>
      <w:r w:rsidR="00FD4FBF" w:rsidRPr="00E23DC3">
        <w:rPr>
          <w:color w:val="000000"/>
        </w:rPr>
        <w:t xml:space="preserve"> cambios</w:t>
      </w:r>
      <w:r w:rsidR="00B96DD4" w:rsidRPr="00E23DC3">
        <w:rPr>
          <w:color w:val="000000"/>
        </w:rPr>
        <w:t xml:space="preserve"> en la </w:t>
      </w:r>
      <w:r w:rsidR="00FD4FBF" w:rsidRPr="00E23DC3">
        <w:rPr>
          <w:color w:val="000000"/>
        </w:rPr>
        <w:t>estructura</w:t>
      </w:r>
      <w:r w:rsidR="00FD4FBF">
        <w:rPr>
          <w:color w:val="000000"/>
        </w:rPr>
        <w:t xml:space="preserve"> </w:t>
      </w:r>
      <w:r w:rsidR="00FD4FBF" w:rsidRPr="00E23DC3">
        <w:rPr>
          <w:color w:val="000000"/>
        </w:rPr>
        <w:t>del</w:t>
      </w:r>
      <w:r w:rsidR="00B96DD4" w:rsidRPr="00E23DC3">
        <w:rPr>
          <w:color w:val="000000"/>
        </w:rPr>
        <w:t xml:space="preserve"> grano. </w:t>
      </w:r>
      <w:r w:rsidR="00C7116F" w:rsidRPr="00E23DC3">
        <w:rPr>
          <w:color w:val="000000"/>
        </w:rPr>
        <w:t>Por lo tanto, el objetivo de este trabajo fue</w:t>
      </w:r>
      <w:r w:rsidR="00591BB1" w:rsidRPr="00E23DC3">
        <w:rPr>
          <w:color w:val="000000"/>
        </w:rPr>
        <w:t xml:space="preserve"> </w:t>
      </w:r>
      <w:r w:rsidR="00C7116F" w:rsidRPr="00E23DC3">
        <w:rPr>
          <w:color w:val="000000"/>
        </w:rPr>
        <w:t xml:space="preserve">evaluar los cambios </w:t>
      </w:r>
      <w:r w:rsidR="00992B38">
        <w:rPr>
          <w:color w:val="000000"/>
        </w:rPr>
        <w:t>estructurales como consecuencia de</w:t>
      </w:r>
      <w:r w:rsidR="0094464C" w:rsidRPr="00E23DC3">
        <w:rPr>
          <w:color w:val="000000"/>
        </w:rPr>
        <w:t xml:space="preserve"> la germinación </w:t>
      </w:r>
      <w:r w:rsidR="00992B38">
        <w:rPr>
          <w:color w:val="000000"/>
        </w:rPr>
        <w:t>mediante espectroscopía infrarroja (FTIR)</w:t>
      </w:r>
      <w:r w:rsidR="0094464C" w:rsidRPr="00E23DC3">
        <w:rPr>
          <w:color w:val="000000"/>
        </w:rPr>
        <w:t>.</w:t>
      </w:r>
      <w:r w:rsidR="00591BB1" w:rsidRPr="00E23DC3">
        <w:rPr>
          <w:color w:val="000000"/>
        </w:rPr>
        <w:t xml:space="preserve"> </w:t>
      </w:r>
      <w:r w:rsidR="00462534" w:rsidRPr="00E23DC3">
        <w:rPr>
          <w:color w:val="000000"/>
        </w:rPr>
        <w:t xml:space="preserve">Se realizaron espectros </w:t>
      </w:r>
      <w:r w:rsidR="00992B38">
        <w:rPr>
          <w:color w:val="000000"/>
        </w:rPr>
        <w:t>ATR-</w:t>
      </w:r>
      <w:r w:rsidR="00462534" w:rsidRPr="00E23DC3">
        <w:rPr>
          <w:color w:val="000000"/>
        </w:rPr>
        <w:t>FTIR de las harinas de quinoa</w:t>
      </w:r>
      <w:r w:rsidR="00591BB1" w:rsidRPr="00E23DC3">
        <w:rPr>
          <w:color w:val="000000"/>
        </w:rPr>
        <w:t xml:space="preserve"> blanca</w:t>
      </w:r>
      <w:r w:rsidR="00693704">
        <w:rPr>
          <w:color w:val="000000"/>
        </w:rPr>
        <w:t>-</w:t>
      </w:r>
      <w:r w:rsidR="00A14713">
        <w:rPr>
          <w:color w:val="000000"/>
        </w:rPr>
        <w:t xml:space="preserve">QB </w:t>
      </w:r>
      <w:r w:rsidR="00591BB1" w:rsidRPr="00E23DC3">
        <w:rPr>
          <w:color w:val="000000"/>
        </w:rPr>
        <w:t>y roja</w:t>
      </w:r>
      <w:r w:rsidR="00693704">
        <w:rPr>
          <w:color w:val="000000"/>
        </w:rPr>
        <w:t>-QR</w:t>
      </w:r>
      <w:r w:rsidR="00462534" w:rsidRPr="00E23DC3">
        <w:rPr>
          <w:color w:val="000000"/>
        </w:rPr>
        <w:t xml:space="preserve"> germinada</w:t>
      </w:r>
      <w:r w:rsidR="00591BB1" w:rsidRPr="00E23DC3">
        <w:rPr>
          <w:color w:val="000000"/>
        </w:rPr>
        <w:t xml:space="preserve"> (durante 0, 18, 24 y 48 h a 20ºC</w:t>
      </w:r>
      <w:r w:rsidR="00FD4FBF" w:rsidRPr="00E23DC3">
        <w:rPr>
          <w:color w:val="000000"/>
        </w:rPr>
        <w:t>).</w:t>
      </w:r>
      <w:r w:rsidR="00462534" w:rsidRPr="00E23DC3">
        <w:rPr>
          <w:color w:val="000000"/>
        </w:rPr>
        <w:t xml:space="preserve"> Se tomaron 32 barridos con una resolución espectral de 4 cm</w:t>
      </w:r>
      <w:r w:rsidR="00462534" w:rsidRPr="00E23DC3">
        <w:rPr>
          <w:color w:val="000000"/>
          <w:vertAlign w:val="superscript"/>
        </w:rPr>
        <w:t>−1</w:t>
      </w:r>
      <w:r w:rsidR="00462534" w:rsidRPr="00E23DC3">
        <w:rPr>
          <w:color w:val="000000"/>
        </w:rPr>
        <w:t xml:space="preserve"> en el rango 4000-</w:t>
      </w:r>
      <w:r w:rsidR="00985750" w:rsidRPr="00E23DC3">
        <w:rPr>
          <w:color w:val="000000"/>
        </w:rPr>
        <w:t>8</w:t>
      </w:r>
      <w:r w:rsidR="00462534" w:rsidRPr="00E23DC3">
        <w:rPr>
          <w:color w:val="000000"/>
        </w:rPr>
        <w:t>00 cm</w:t>
      </w:r>
      <w:r w:rsidR="00462534" w:rsidRPr="00E23DC3">
        <w:rPr>
          <w:color w:val="000000"/>
          <w:vertAlign w:val="superscript"/>
        </w:rPr>
        <w:t>−1</w:t>
      </w:r>
      <w:r w:rsidR="00462534" w:rsidRPr="00E23DC3">
        <w:rPr>
          <w:color w:val="000000"/>
        </w:rPr>
        <w:t>. Se realizaron 5 espectros de cada muestra.</w:t>
      </w:r>
      <w:r w:rsidR="00C7785D" w:rsidRPr="00E23DC3">
        <w:rPr>
          <w:color w:val="000000"/>
        </w:rPr>
        <w:t xml:space="preserve"> Las zonas de especial interés fueron aquellas comprendidas entre </w:t>
      </w:r>
      <w:r w:rsidR="00E229C3" w:rsidRPr="00E23DC3">
        <w:rPr>
          <w:bCs/>
          <w:iCs/>
        </w:rPr>
        <w:t>1580-1710 cm</w:t>
      </w:r>
      <w:r w:rsidR="00E229C3" w:rsidRPr="00E23DC3">
        <w:rPr>
          <w:bCs/>
          <w:iCs/>
          <w:vertAlign w:val="superscript"/>
        </w:rPr>
        <w:t xml:space="preserve">−1 </w:t>
      </w:r>
      <w:r w:rsidR="00E229C3" w:rsidRPr="00E23DC3">
        <w:rPr>
          <w:bCs/>
          <w:iCs/>
        </w:rPr>
        <w:t xml:space="preserve">correspondiente a la </w:t>
      </w:r>
      <w:r w:rsidR="00992B38">
        <w:rPr>
          <w:bCs/>
          <w:iCs/>
        </w:rPr>
        <w:t>a</w:t>
      </w:r>
      <w:r w:rsidR="00992B38" w:rsidRPr="00E23DC3">
        <w:rPr>
          <w:bCs/>
          <w:iCs/>
        </w:rPr>
        <w:t xml:space="preserve">mida </w:t>
      </w:r>
      <w:r w:rsidR="00E229C3" w:rsidRPr="00E23DC3">
        <w:rPr>
          <w:bCs/>
          <w:iCs/>
        </w:rPr>
        <w:t>I y entre 995</w:t>
      </w:r>
      <w:r w:rsidR="004C1D9D">
        <w:rPr>
          <w:bCs/>
          <w:iCs/>
        </w:rPr>
        <w:t>-</w:t>
      </w:r>
      <w:r w:rsidR="00E229C3" w:rsidRPr="00E23DC3">
        <w:rPr>
          <w:bCs/>
          <w:iCs/>
        </w:rPr>
        <w:t>1150 cm</w:t>
      </w:r>
      <w:r w:rsidR="00E229C3" w:rsidRPr="00E23DC3">
        <w:rPr>
          <w:bCs/>
          <w:iCs/>
          <w:vertAlign w:val="superscript"/>
        </w:rPr>
        <w:t>−1</w:t>
      </w:r>
      <w:r w:rsidR="00E229C3" w:rsidRPr="00E23DC3">
        <w:rPr>
          <w:bCs/>
          <w:iCs/>
        </w:rPr>
        <w:t xml:space="preserve"> </w:t>
      </w:r>
      <w:r w:rsidR="00CC17E1" w:rsidRPr="00E23DC3">
        <w:rPr>
          <w:bCs/>
          <w:iCs/>
        </w:rPr>
        <w:t xml:space="preserve">referida </w:t>
      </w:r>
      <w:r w:rsidR="00E229C3" w:rsidRPr="00E23DC3">
        <w:rPr>
          <w:bCs/>
          <w:iCs/>
        </w:rPr>
        <w:t xml:space="preserve">a la estructura del almidón. </w:t>
      </w:r>
      <w:r w:rsidR="00693704">
        <w:rPr>
          <w:bCs/>
          <w:iCs/>
        </w:rPr>
        <w:t xml:space="preserve">La estructura secundaria de </w:t>
      </w:r>
      <w:r w:rsidR="00FD4FBF">
        <w:rPr>
          <w:bCs/>
          <w:iCs/>
        </w:rPr>
        <w:t>la</w:t>
      </w:r>
      <w:r w:rsidR="00FD4FBF" w:rsidRPr="00E23DC3">
        <w:rPr>
          <w:iCs/>
        </w:rPr>
        <w:t xml:space="preserve"> quinoa</w:t>
      </w:r>
      <w:r w:rsidR="00843813" w:rsidRPr="00E23DC3">
        <w:rPr>
          <w:iCs/>
        </w:rPr>
        <w:t xml:space="preserve"> </w:t>
      </w:r>
      <w:r w:rsidR="00FD4FBF" w:rsidRPr="00E23DC3">
        <w:rPr>
          <w:iCs/>
        </w:rPr>
        <w:t>blanca</w:t>
      </w:r>
      <w:r w:rsidR="00FD4FBF">
        <w:rPr>
          <w:iCs/>
        </w:rPr>
        <w:t xml:space="preserve"> </w:t>
      </w:r>
      <w:r w:rsidR="00FD4FBF" w:rsidRPr="00E23DC3">
        <w:t>sin</w:t>
      </w:r>
      <w:r w:rsidR="00843813" w:rsidRPr="00E23DC3">
        <w:t xml:space="preserve"> germinar presentó alta proporción de estructura hoja β-paralela, mayormente intermolecular y bajo porcentaje de α-hélice y giros-β. La </w:t>
      </w:r>
      <w:r w:rsidR="00693704" w:rsidRPr="00E23DC3">
        <w:t>germina</w:t>
      </w:r>
      <w:r w:rsidR="00693704">
        <w:t xml:space="preserve">da durante </w:t>
      </w:r>
      <w:r w:rsidR="00843813" w:rsidRPr="00E23DC3">
        <w:t>18 h</w:t>
      </w:r>
      <w:r w:rsidR="00693704">
        <w:t>(QBG18</w:t>
      </w:r>
      <w:r w:rsidR="00843813" w:rsidRPr="00E23DC3">
        <w:t xml:space="preserve">) disminuyó la hoja β-paralela intermolecular y aumentó la α-hélice y los giros-β, lo que se asocia a una compactación de la proteína. A las 48 h hubo un aumento </w:t>
      </w:r>
      <w:r w:rsidR="003F2846" w:rsidRPr="00E23DC3">
        <w:t>de</w:t>
      </w:r>
      <w:r w:rsidR="00843813" w:rsidRPr="00E23DC3">
        <w:t xml:space="preserve"> α–hélice, sin observarse cambios en el resto de las estructuras secundarias</w:t>
      </w:r>
      <w:r w:rsidR="00693704">
        <w:t xml:space="preserve"> proteica</w:t>
      </w:r>
      <w:r w:rsidR="00843813" w:rsidRPr="00E23DC3">
        <w:t xml:space="preserve">. En cuanto </w:t>
      </w:r>
      <w:r w:rsidR="003F2846" w:rsidRPr="00E23DC3">
        <w:t>al</w:t>
      </w:r>
      <w:r w:rsidR="00843813" w:rsidRPr="00E23DC3">
        <w:t xml:space="preserve"> almidón, no se observaron cambios en las bandas 995, 1022 y 1045 cm-</w:t>
      </w:r>
      <w:r w:rsidR="00843813" w:rsidRPr="00E23DC3">
        <w:rPr>
          <w:vertAlign w:val="superscript"/>
        </w:rPr>
        <w:t>1</w:t>
      </w:r>
      <w:r w:rsidR="00843813" w:rsidRPr="00E23DC3">
        <w:t xml:space="preserve">. Al comparar los valores de los cocientes 1045/1022 y 1022/995 se </w:t>
      </w:r>
      <w:r w:rsidR="00693704">
        <w:t>encontró un predominio de l</w:t>
      </w:r>
      <w:r w:rsidR="00843813" w:rsidRPr="00E23DC3">
        <w:t>a estructura amorfa</w:t>
      </w:r>
      <w:r w:rsidR="00B268BB" w:rsidRPr="00E23DC3">
        <w:t xml:space="preserve"> </w:t>
      </w:r>
      <w:r w:rsidR="00693704">
        <w:t xml:space="preserve">en </w:t>
      </w:r>
      <w:r w:rsidR="00843813" w:rsidRPr="00E23DC3">
        <w:t>QBG18. A mayor tiempo de tratamiento no hubo diferencias.</w:t>
      </w:r>
      <w:r w:rsidR="005C3AC3" w:rsidRPr="00E23DC3">
        <w:t xml:space="preserve"> Por otro lado</w:t>
      </w:r>
      <w:r w:rsidR="00843813" w:rsidRPr="00E23DC3">
        <w:t xml:space="preserve">, </w:t>
      </w:r>
      <w:r w:rsidR="00A317E1" w:rsidRPr="00E23DC3">
        <w:t>respecto a la estructura de las proteínas en</w:t>
      </w:r>
      <w:r w:rsidR="00843813" w:rsidRPr="00E23DC3">
        <w:t xml:space="preserve"> quinoa roja</w:t>
      </w:r>
      <w:r w:rsidR="00A317E1" w:rsidRPr="00E23DC3">
        <w:t>,</w:t>
      </w:r>
      <w:r w:rsidR="00A317E1" w:rsidRPr="00E23DC3">
        <w:rPr>
          <w:iCs/>
        </w:rPr>
        <w:t xml:space="preserve"> l</w:t>
      </w:r>
      <w:r w:rsidR="00CA4899" w:rsidRPr="00E23DC3">
        <w:t>uego de 24 h de germinación, las proteínas presentaron una estructura secundaria más desplegad</w:t>
      </w:r>
      <w:r w:rsidR="005C3AC3" w:rsidRPr="00E23DC3">
        <w:t>a</w:t>
      </w:r>
      <w:r w:rsidR="00CA4899" w:rsidRPr="00E23DC3">
        <w:t>.</w:t>
      </w:r>
      <w:r w:rsidR="00A317E1" w:rsidRPr="00E23DC3">
        <w:t xml:space="preserve"> En tanto que, </w:t>
      </w:r>
      <w:r w:rsidR="005C3AC3" w:rsidRPr="00E23DC3">
        <w:t>referido</w:t>
      </w:r>
      <w:r w:rsidR="00A317E1" w:rsidRPr="00E23DC3">
        <w:t xml:space="preserve"> al almidón,</w:t>
      </w:r>
      <w:r w:rsidR="00CA4899" w:rsidRPr="00E23DC3">
        <w:t xml:space="preserve"> </w:t>
      </w:r>
      <w:r w:rsidR="00A317E1" w:rsidRPr="00E23DC3">
        <w:t>s</w:t>
      </w:r>
      <w:r w:rsidR="00CA4899" w:rsidRPr="00E23DC3">
        <w:t xml:space="preserve">e observó un </w:t>
      </w:r>
      <w:r w:rsidR="00CA4899" w:rsidRPr="00E23DC3">
        <w:lastRenderedPageBreak/>
        <w:t>aumento de la banda 995 cm</w:t>
      </w:r>
      <w:r w:rsidR="00CA4899" w:rsidRPr="00E23DC3">
        <w:rPr>
          <w:vertAlign w:val="superscript"/>
        </w:rPr>
        <w:t>-1</w:t>
      </w:r>
      <w:r w:rsidR="00CA4899" w:rsidRPr="00E23DC3">
        <w:t xml:space="preserve"> y disminución de la 1022 cm</w:t>
      </w:r>
      <w:r w:rsidR="00CA4899" w:rsidRPr="00E23DC3">
        <w:rPr>
          <w:vertAlign w:val="superscript"/>
        </w:rPr>
        <w:t>-1</w:t>
      </w:r>
      <w:r w:rsidR="00A317E1" w:rsidRPr="00E23DC3">
        <w:t>.</w:t>
      </w:r>
      <w:r w:rsidR="00CA4899" w:rsidRPr="00E23DC3">
        <w:t xml:space="preserve"> </w:t>
      </w:r>
      <w:r w:rsidR="007939F1" w:rsidRPr="00E23DC3">
        <w:t>A su vez, l</w:t>
      </w:r>
      <w:r w:rsidR="00CA4899" w:rsidRPr="00E23DC3">
        <w:t>a relación 1045/1022 aumentó producto de la germinación, mientras que 1022/995 disminuyó, indicando una disminución de las regiones amorfas del almidón</w:t>
      </w:r>
      <w:r w:rsidR="007939F1" w:rsidRPr="00E23DC3">
        <w:t xml:space="preserve">. </w:t>
      </w:r>
      <w:r w:rsidR="005C3AC3" w:rsidRPr="00E23DC3">
        <w:t>Sin</w:t>
      </w:r>
      <w:r w:rsidR="00CA4899" w:rsidRPr="00E23DC3">
        <w:t xml:space="preserve"> diferencias</w:t>
      </w:r>
      <w:r w:rsidR="005C3AC3" w:rsidRPr="00E23DC3">
        <w:t xml:space="preserve"> </w:t>
      </w:r>
      <w:r w:rsidR="00CA4899" w:rsidRPr="00E23DC3">
        <w:t>entre los diferentes tiempos de germinación.</w:t>
      </w:r>
      <w:r w:rsidR="004A27F3" w:rsidRPr="00E23DC3">
        <w:t xml:space="preserve"> Los resultados indican </w:t>
      </w:r>
      <w:r w:rsidR="008E6E85" w:rsidRPr="00E23DC3">
        <w:t>que,</w:t>
      </w:r>
      <w:r w:rsidR="004A27F3" w:rsidRPr="00E23DC3">
        <w:t xml:space="preserve"> si bien la germinación en ambas variedades de quinoa fue llevada a cabo en las mismas condiciones, la </w:t>
      </w:r>
      <w:r w:rsidR="008E6E85" w:rsidRPr="00E23DC3">
        <w:t>estructura</w:t>
      </w:r>
      <w:r w:rsidR="004A27F3" w:rsidRPr="00E23DC3">
        <w:t xml:space="preserve"> </w:t>
      </w:r>
      <w:r w:rsidR="008E6E85" w:rsidRPr="00E23DC3">
        <w:t>secundaria</w:t>
      </w:r>
      <w:r w:rsidR="004A27F3" w:rsidRPr="00E23DC3">
        <w:t xml:space="preserve"> de las proteínas y la </w:t>
      </w:r>
      <w:r w:rsidR="008E6E85" w:rsidRPr="00E23DC3">
        <w:t>estructura</w:t>
      </w:r>
      <w:r w:rsidR="004A27F3" w:rsidRPr="00E23DC3">
        <w:t xml:space="preserve"> del </w:t>
      </w:r>
      <w:r w:rsidR="008E6E85" w:rsidRPr="00E23DC3">
        <w:t>almidón</w:t>
      </w:r>
      <w:r w:rsidR="004A27F3" w:rsidRPr="00E23DC3">
        <w:t xml:space="preserve"> </w:t>
      </w:r>
      <w:r w:rsidR="008E6E85" w:rsidRPr="00E23DC3">
        <w:t>se vio modificada de diferente manera en ambas variedades de quinoa.</w:t>
      </w:r>
    </w:p>
    <w:p w14:paraId="4E93280C" w14:textId="68EC2C70" w:rsidR="00CA4899" w:rsidRDefault="00CA4899" w:rsidP="00C7116F">
      <w:pPr>
        <w:spacing w:after="0" w:line="240" w:lineRule="auto"/>
        <w:ind w:left="0" w:hanging="2"/>
        <w:rPr>
          <w:color w:val="000000"/>
          <w:u w:val="single"/>
        </w:rPr>
      </w:pPr>
    </w:p>
    <w:p w14:paraId="71B25AF9" w14:textId="48711165" w:rsidR="008E6E85" w:rsidRDefault="008E6E85" w:rsidP="008E6E85">
      <w:pPr>
        <w:spacing w:after="0" w:line="240" w:lineRule="auto"/>
        <w:ind w:left="0" w:hanging="2"/>
      </w:pPr>
      <w:r>
        <w:t xml:space="preserve">Palabras Clave: </w:t>
      </w:r>
      <w:r>
        <w:rPr>
          <w:lang w:val="es-ES"/>
        </w:rPr>
        <w:t>quinoa, germinación, estructura, FTIR.</w:t>
      </w:r>
    </w:p>
    <w:p w14:paraId="4771BED2" w14:textId="77777777" w:rsidR="008E6E85" w:rsidRPr="007939F1" w:rsidRDefault="008E6E85" w:rsidP="00C7116F">
      <w:pPr>
        <w:spacing w:after="0" w:line="240" w:lineRule="auto"/>
        <w:ind w:left="0" w:hanging="2"/>
        <w:rPr>
          <w:color w:val="000000"/>
          <w:u w:val="single"/>
        </w:rPr>
      </w:pPr>
    </w:p>
    <w:sectPr w:rsidR="008E6E85" w:rsidRPr="007939F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915D" w14:textId="77777777" w:rsidR="00724F19" w:rsidRDefault="00724F1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0EDFA8" w14:textId="77777777" w:rsidR="00724F19" w:rsidRDefault="00724F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8631" w14:textId="77777777" w:rsidR="00724F19" w:rsidRDefault="00724F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C7ADAE" w14:textId="77777777" w:rsidR="00724F19" w:rsidRDefault="00724F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B717" w14:textId="77777777" w:rsidR="00947E54" w:rsidRDefault="004616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BB7C006" wp14:editId="634E8CE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54"/>
    <w:rsid w:val="00000231"/>
    <w:rsid w:val="00050A1B"/>
    <w:rsid w:val="00067E1B"/>
    <w:rsid w:val="00092E70"/>
    <w:rsid w:val="00124F20"/>
    <w:rsid w:val="0027073F"/>
    <w:rsid w:val="00290264"/>
    <w:rsid w:val="003152B8"/>
    <w:rsid w:val="0038529B"/>
    <w:rsid w:val="0039227F"/>
    <w:rsid w:val="003F2846"/>
    <w:rsid w:val="004237CC"/>
    <w:rsid w:val="00461664"/>
    <w:rsid w:val="00462534"/>
    <w:rsid w:val="004A27F3"/>
    <w:rsid w:val="004C1D9D"/>
    <w:rsid w:val="004C7921"/>
    <w:rsid w:val="004E2B42"/>
    <w:rsid w:val="005578BE"/>
    <w:rsid w:val="00591BB1"/>
    <w:rsid w:val="005B6FAA"/>
    <w:rsid w:val="005C3AC3"/>
    <w:rsid w:val="005E6698"/>
    <w:rsid w:val="00602FD3"/>
    <w:rsid w:val="006328B2"/>
    <w:rsid w:val="00693704"/>
    <w:rsid w:val="00706B57"/>
    <w:rsid w:val="00724F19"/>
    <w:rsid w:val="00772C18"/>
    <w:rsid w:val="007939F1"/>
    <w:rsid w:val="00843813"/>
    <w:rsid w:val="008E6E85"/>
    <w:rsid w:val="00905C00"/>
    <w:rsid w:val="00927C98"/>
    <w:rsid w:val="0094464C"/>
    <w:rsid w:val="00947E54"/>
    <w:rsid w:val="00985750"/>
    <w:rsid w:val="00992B38"/>
    <w:rsid w:val="009D7E6B"/>
    <w:rsid w:val="009E00D4"/>
    <w:rsid w:val="00A14713"/>
    <w:rsid w:val="00A317E1"/>
    <w:rsid w:val="00A31B68"/>
    <w:rsid w:val="00B268BB"/>
    <w:rsid w:val="00B46CB3"/>
    <w:rsid w:val="00B921D5"/>
    <w:rsid w:val="00B96DD4"/>
    <w:rsid w:val="00C16890"/>
    <w:rsid w:val="00C23E6C"/>
    <w:rsid w:val="00C7116F"/>
    <w:rsid w:val="00C7785D"/>
    <w:rsid w:val="00CA4899"/>
    <w:rsid w:val="00CC17E1"/>
    <w:rsid w:val="00E037E9"/>
    <w:rsid w:val="00E229C3"/>
    <w:rsid w:val="00E23DC3"/>
    <w:rsid w:val="00E51865"/>
    <w:rsid w:val="00EA3371"/>
    <w:rsid w:val="00EB42E2"/>
    <w:rsid w:val="00F52A7A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4E6FE"/>
  <w15:docId w15:val="{CB370C1B-0BDF-4B3B-BF27-ADC3C71C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52B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2B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168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6890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689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CA4899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698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698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1471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hoguardianell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victoria salinas</cp:lastModifiedBy>
  <cp:revision>2</cp:revision>
  <dcterms:created xsi:type="dcterms:W3CDTF">2022-06-30T12:00:00Z</dcterms:created>
  <dcterms:modified xsi:type="dcterms:W3CDTF">2022-06-30T12:00:00Z</dcterms:modified>
</cp:coreProperties>
</file>