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FDF5" w14:textId="3852D92B" w:rsidR="002322B1" w:rsidRDefault="002B0EF5">
      <w:pPr>
        <w:spacing w:after="0" w:line="240" w:lineRule="auto"/>
        <w:ind w:left="0" w:hanging="2"/>
        <w:jc w:val="center"/>
        <w:rPr>
          <w:b/>
          <w:lang w:val="en-US"/>
        </w:rPr>
      </w:pPr>
      <w:r w:rsidRPr="002B0EF5">
        <w:rPr>
          <w:b/>
          <w:lang w:val="en-US"/>
        </w:rPr>
        <w:t>Fermented mango and passion fruit juices bio-enriched with selenium using selenized lactic acid bacteria</w:t>
      </w:r>
    </w:p>
    <w:p w14:paraId="5D620AA8" w14:textId="77777777" w:rsidR="002B0EF5" w:rsidRPr="002B0EF5" w:rsidRDefault="002B0EF5">
      <w:pPr>
        <w:spacing w:after="0" w:line="240" w:lineRule="auto"/>
        <w:ind w:left="0" w:hanging="2"/>
        <w:jc w:val="center"/>
        <w:rPr>
          <w:lang w:val="en-US"/>
        </w:rPr>
      </w:pPr>
    </w:p>
    <w:p w14:paraId="4B738695" w14:textId="48496E15" w:rsidR="002322B1" w:rsidRPr="00AD1C14" w:rsidRDefault="00C7676B" w:rsidP="00C7676B">
      <w:pPr>
        <w:spacing w:after="0" w:line="240" w:lineRule="auto"/>
        <w:ind w:left="0" w:hanging="2"/>
        <w:contextualSpacing/>
        <w:jc w:val="center"/>
        <w:rPr>
          <w:b/>
        </w:rPr>
      </w:pPr>
      <w:r>
        <w:t>Crespo, L;</w:t>
      </w:r>
      <w:r w:rsidRPr="00806374">
        <w:t xml:space="preserve"> Mozzi, F; </w:t>
      </w:r>
      <w:r w:rsidR="002B0EF5">
        <w:t>Pescuma, M.</w:t>
      </w:r>
    </w:p>
    <w:p w14:paraId="29FECF28" w14:textId="77777777" w:rsidR="002322B1" w:rsidRDefault="002322B1">
      <w:pPr>
        <w:spacing w:after="0" w:line="240" w:lineRule="auto"/>
        <w:ind w:left="0" w:hanging="2"/>
        <w:jc w:val="center"/>
      </w:pPr>
    </w:p>
    <w:p w14:paraId="2F5E00E2" w14:textId="0990B937" w:rsidR="002322B1" w:rsidRDefault="00C7676B">
      <w:pPr>
        <w:spacing w:after="120" w:line="240" w:lineRule="auto"/>
        <w:ind w:left="0" w:hanging="2"/>
        <w:jc w:val="left"/>
      </w:pPr>
      <w:r>
        <w:t>CERELA-CONICET. Chacabuco 145. San Miguel de Tucumán, Tucumán, Argentina.</w:t>
      </w:r>
    </w:p>
    <w:p w14:paraId="4176D012" w14:textId="166B957F" w:rsidR="002322B1" w:rsidRDefault="00376927" w:rsidP="00C767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C7676B">
        <w:rPr>
          <w:color w:val="000000"/>
        </w:rPr>
        <w:t xml:space="preserve"> </w:t>
      </w:r>
      <w:r w:rsidR="002B0EF5">
        <w:rPr>
          <w:color w:val="000000"/>
        </w:rPr>
        <w:t>lcrespo</w:t>
      </w:r>
      <w:r w:rsidR="00C7676B">
        <w:rPr>
          <w:color w:val="000000"/>
        </w:rPr>
        <w:t>@cerela.org.ar</w:t>
      </w:r>
      <w:r>
        <w:rPr>
          <w:color w:val="000000"/>
        </w:rPr>
        <w:tab/>
      </w:r>
    </w:p>
    <w:p w14:paraId="0619089A" w14:textId="77777777" w:rsidR="002322B1" w:rsidRDefault="002322B1">
      <w:pPr>
        <w:spacing w:after="0" w:line="240" w:lineRule="auto"/>
        <w:ind w:left="0" w:hanging="2"/>
      </w:pPr>
    </w:p>
    <w:p w14:paraId="096BA90E" w14:textId="77050757" w:rsidR="002322B1" w:rsidRPr="002B0EF5" w:rsidRDefault="002B0EF5">
      <w:pPr>
        <w:spacing w:after="0" w:line="240" w:lineRule="auto"/>
        <w:ind w:left="0" w:hanging="2"/>
        <w:rPr>
          <w:lang w:val="en-US"/>
        </w:rPr>
      </w:pPr>
      <w:r w:rsidRPr="002B0EF5">
        <w:rPr>
          <w:lang w:val="en-US"/>
        </w:rPr>
        <w:t>ABSTRACT</w:t>
      </w:r>
    </w:p>
    <w:p w14:paraId="02413EE7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</w:p>
    <w:p w14:paraId="1C16DBF8" w14:textId="5AB95A94" w:rsidR="00051754" w:rsidRPr="002B0EF5" w:rsidRDefault="002B0EF5" w:rsidP="00051754">
      <w:pPr>
        <w:spacing w:after="0" w:line="240" w:lineRule="auto"/>
        <w:ind w:left="0" w:hanging="2"/>
        <w:contextualSpacing/>
        <w:rPr>
          <w:lang w:val="en-US"/>
        </w:rPr>
      </w:pPr>
      <w:r w:rsidRPr="00277AFC">
        <w:rPr>
          <w:lang w:val="en-US"/>
        </w:rPr>
        <w:t>Fruits are fundamental sources of bioactive compounds and their consumption can prevent the development of chronic pathologies. Selenium (Se) is a vital micronutrient for humans; however, excessive intake of Se salts can be toxic. Lactic acid bacteria (LAB) are able to biotransform inorganic Se into Se-nanoparticles and Se-amino acids. The objective of this work was to formulate a mango-passion fruit juice bio</w:t>
      </w:r>
      <w:r>
        <w:rPr>
          <w:lang w:val="en-US"/>
        </w:rPr>
        <w:t>-</w:t>
      </w:r>
      <w:r w:rsidRPr="00277AFC">
        <w:rPr>
          <w:lang w:val="en-US"/>
        </w:rPr>
        <w:t xml:space="preserve">enriched with Se. </w:t>
      </w:r>
      <w:r w:rsidRPr="00277AFC">
        <w:rPr>
          <w:i/>
          <w:iCs/>
          <w:lang w:val="en-US"/>
        </w:rPr>
        <w:t>Lactiplantibacillus paraplantarum</w:t>
      </w:r>
      <w:r w:rsidRPr="00277AFC">
        <w:rPr>
          <w:lang w:val="en-US"/>
        </w:rPr>
        <w:t xml:space="preserve"> CRL 2051 and </w:t>
      </w:r>
      <w:r w:rsidRPr="00277AFC">
        <w:rPr>
          <w:i/>
          <w:iCs/>
          <w:lang w:val="en-US"/>
        </w:rPr>
        <w:t>Fructobacillus tropaeoli</w:t>
      </w:r>
      <w:r w:rsidRPr="00277AFC">
        <w:rPr>
          <w:lang w:val="en-US"/>
        </w:rPr>
        <w:t xml:space="preserve"> CRL 2034 were grown in MRS with fructose</w:t>
      </w:r>
      <w:r>
        <w:rPr>
          <w:lang w:val="en-US"/>
        </w:rPr>
        <w:t xml:space="preserve"> and</w:t>
      </w:r>
      <w:r w:rsidRPr="00277AFC">
        <w:rPr>
          <w:lang w:val="en-US"/>
        </w:rPr>
        <w:t xml:space="preserve"> with the addition of 10 mg/L sodium selenite, and were incubated at 30 °C 24 h.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 accumulated 1.68 ± 0.08 mg Se/L intracellularly, while </w:t>
      </w:r>
      <w:r w:rsidRPr="00277AFC">
        <w:rPr>
          <w:i/>
          <w:iCs/>
          <w:lang w:val="en-US"/>
        </w:rPr>
        <w:t>F. tropaeoli</w:t>
      </w:r>
      <w:r w:rsidRPr="00277AFC">
        <w:rPr>
          <w:lang w:val="en-US"/>
        </w:rPr>
        <w:t xml:space="preserve"> CRL 2034 2.18 ± 0.04 mg/L</w:t>
      </w:r>
      <w:r>
        <w:rPr>
          <w:lang w:val="en-US"/>
        </w:rPr>
        <w:t xml:space="preserve"> (ICP-MS)</w:t>
      </w:r>
      <w:r w:rsidRPr="00277AFC">
        <w:rPr>
          <w:lang w:val="en-US"/>
        </w:rPr>
        <w:t xml:space="preserve">. Selenized </w:t>
      </w:r>
      <w:r>
        <w:rPr>
          <w:lang w:val="en-US"/>
        </w:rPr>
        <w:t xml:space="preserve">and control cells (without selenite) of the assayed strains, </w:t>
      </w:r>
      <w:r w:rsidRPr="00277AFC">
        <w:rPr>
          <w:lang w:val="en-US"/>
        </w:rPr>
        <w:t>were inoculated alone or in co-culture in pasteurized mango-passion fruit juices. The strains grew between 1.43 and 2.04 log cfu/mL and decreased the pH between 0.</w:t>
      </w:r>
      <w:r>
        <w:rPr>
          <w:lang w:val="en-US"/>
        </w:rPr>
        <w:t>93</w:t>
      </w:r>
      <w:r w:rsidRPr="00277AFC">
        <w:rPr>
          <w:lang w:val="en-US"/>
        </w:rPr>
        <w:t xml:space="preserve"> and 1.3</w:t>
      </w:r>
      <w:r>
        <w:rPr>
          <w:lang w:val="en-US"/>
        </w:rPr>
        <w:t>4</w:t>
      </w:r>
      <w:r w:rsidRPr="00277AFC">
        <w:rPr>
          <w:lang w:val="en-US"/>
        </w:rPr>
        <w:t xml:space="preserve"> U after 24 h fermentation.</w:t>
      </w:r>
      <w:r>
        <w:rPr>
          <w:lang w:val="en-US"/>
        </w:rPr>
        <w:t xml:space="preserve"> </w:t>
      </w:r>
      <w:bookmarkStart w:id="0" w:name="_Hlk107393899"/>
      <w:r>
        <w:rPr>
          <w:lang w:val="en-US"/>
        </w:rPr>
        <w:t>The</w:t>
      </w:r>
      <w:r w:rsidRPr="00277AFC">
        <w:rPr>
          <w:lang w:val="en-US"/>
        </w:rPr>
        <w:t xml:space="preserve"> °Brix of the non-inoculated juice was 4.90 ± 0.14 and decreased </w:t>
      </w:r>
      <w:r>
        <w:rPr>
          <w:lang w:val="en-US"/>
        </w:rPr>
        <w:t>to</w:t>
      </w:r>
      <w:r w:rsidRPr="00277AFC">
        <w:rPr>
          <w:lang w:val="en-US"/>
        </w:rPr>
        <w:t xml:space="preserve"> 4.07 ± 0.12 and 4.67 ± 0.28 after fermentation. The titratable acidity of </w:t>
      </w:r>
      <w:r>
        <w:rPr>
          <w:lang w:val="en-US"/>
        </w:rPr>
        <w:t xml:space="preserve">the </w:t>
      </w:r>
      <w:r w:rsidRPr="00277AFC">
        <w:rPr>
          <w:lang w:val="en-US"/>
        </w:rPr>
        <w:t>fermented juices increased</w:t>
      </w:r>
      <w:r>
        <w:rPr>
          <w:lang w:val="en-US"/>
        </w:rPr>
        <w:t>,</w:t>
      </w:r>
      <w:r w:rsidRPr="00277AFC">
        <w:rPr>
          <w:lang w:val="en-US"/>
        </w:rPr>
        <w:t xml:space="preserve"> being higher </w:t>
      </w:r>
      <w:r>
        <w:rPr>
          <w:lang w:val="en-US"/>
        </w:rPr>
        <w:t xml:space="preserve">when using </w:t>
      </w:r>
      <w:r w:rsidRPr="00277AFC">
        <w:rPr>
          <w:lang w:val="en-US"/>
        </w:rPr>
        <w:t>non-selenized</w:t>
      </w:r>
      <w:r>
        <w:rPr>
          <w:lang w:val="en-US"/>
        </w:rPr>
        <w:t xml:space="preserve"> cells of </w:t>
      </w:r>
      <w:r w:rsidRPr="00277AFC">
        <w:rPr>
          <w:i/>
          <w:iCs/>
          <w:lang w:val="en-US"/>
        </w:rPr>
        <w:t>L</w:t>
      </w:r>
      <w:r>
        <w:rPr>
          <w:i/>
          <w:iCs/>
          <w:lang w:val="en-US"/>
        </w:rPr>
        <w:t xml:space="preserve">. </w:t>
      </w:r>
      <w:r w:rsidRPr="00277AFC">
        <w:rPr>
          <w:i/>
          <w:iCs/>
          <w:lang w:val="en-US"/>
        </w:rPr>
        <w:t>paraplantarum</w:t>
      </w:r>
      <w:r w:rsidRPr="00277AFC">
        <w:rPr>
          <w:lang w:val="en-US"/>
        </w:rPr>
        <w:t xml:space="preserve"> CRL 2051 (76 ±</w:t>
      </w:r>
      <w:r>
        <w:rPr>
          <w:lang w:val="en-US"/>
        </w:rPr>
        <w:t xml:space="preserve"> </w:t>
      </w:r>
      <w:r w:rsidRPr="00277AFC">
        <w:rPr>
          <w:lang w:val="en-US"/>
        </w:rPr>
        <w:t>5,66 °</w:t>
      </w:r>
      <w:r>
        <w:rPr>
          <w:lang w:val="en-US"/>
        </w:rPr>
        <w:t>D</w:t>
      </w:r>
      <w:r w:rsidRPr="00277AFC">
        <w:rPr>
          <w:lang w:val="en-US"/>
        </w:rPr>
        <w:t xml:space="preserve">) and </w:t>
      </w:r>
      <w:r>
        <w:rPr>
          <w:lang w:val="en-US"/>
        </w:rPr>
        <w:t xml:space="preserve">the </w:t>
      </w:r>
      <w:r w:rsidRPr="00277AFC">
        <w:rPr>
          <w:lang w:val="en-US"/>
        </w:rPr>
        <w:t>co-culture (71,00 ± 7,07 °</w:t>
      </w:r>
      <w:r>
        <w:rPr>
          <w:lang w:val="en-US"/>
        </w:rPr>
        <w:t>D</w:t>
      </w:r>
      <w:r w:rsidRPr="00277AFC">
        <w:rPr>
          <w:lang w:val="en-US"/>
        </w:rPr>
        <w:t xml:space="preserve">). </w:t>
      </w:r>
      <w:bookmarkEnd w:id="0"/>
      <w:r w:rsidRPr="00277AFC">
        <w:rPr>
          <w:lang w:val="en-US"/>
        </w:rPr>
        <w:t xml:space="preserve">Carbohydrates present in non-inoculated pasteurized mango-passion fruit juice were sucrose (33.08 ± 2.97 g/L), glucose (5.94 ± 0.63 g/L) and fructose (6.00 ± 0.63 g/L).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 showed homofermentative behavior produc</w:t>
      </w:r>
      <w:r>
        <w:rPr>
          <w:lang w:val="en-US"/>
        </w:rPr>
        <w:t>ing</w:t>
      </w:r>
      <w:r w:rsidRPr="00277AFC">
        <w:rPr>
          <w:lang w:val="en-US"/>
        </w:rPr>
        <w:t xml:space="preserve"> only lactic acid (5.13 ± 0.99 g/L)</w:t>
      </w:r>
      <w:r>
        <w:rPr>
          <w:lang w:val="en-US"/>
        </w:rPr>
        <w:t xml:space="preserve"> and no differences were observed between control and selenized cells</w:t>
      </w:r>
      <w:r w:rsidRPr="00277AFC">
        <w:rPr>
          <w:lang w:val="en-US"/>
        </w:rPr>
        <w:t xml:space="preserve">. On the other hand, an increase of 0.42 g/L of lactic acid and 0.22 g/L of acetic acid was detected </w:t>
      </w:r>
      <w:r>
        <w:rPr>
          <w:lang w:val="en-US"/>
        </w:rPr>
        <w:t xml:space="preserve">using </w:t>
      </w:r>
      <w:r w:rsidRPr="00277AFC">
        <w:rPr>
          <w:lang w:val="en-US"/>
        </w:rPr>
        <w:t xml:space="preserve">the selenized fructophilic strain compared to </w:t>
      </w:r>
      <w:r>
        <w:rPr>
          <w:lang w:val="en-US"/>
        </w:rPr>
        <w:t>the control</w:t>
      </w:r>
      <w:r w:rsidRPr="00277AFC">
        <w:rPr>
          <w:lang w:val="en-US"/>
        </w:rPr>
        <w:t xml:space="preserve"> cells</w:t>
      </w:r>
      <w:r>
        <w:rPr>
          <w:lang w:val="en-US"/>
        </w:rPr>
        <w:t>,</w:t>
      </w:r>
      <w:r w:rsidRPr="00277AFC">
        <w:rPr>
          <w:lang w:val="en-US"/>
        </w:rPr>
        <w:t xml:space="preserve"> while no difference was observed in the production of mannitol (6,94 ± 0,23 g/L). The total content of soluble phenolic</w:t>
      </w:r>
      <w:r>
        <w:rPr>
          <w:lang w:val="en-US"/>
        </w:rPr>
        <w:t xml:space="preserve"> compounds</w:t>
      </w:r>
      <w:r w:rsidRPr="00277AFC">
        <w:rPr>
          <w:lang w:val="en-US"/>
        </w:rPr>
        <w:t xml:space="preserve"> in the juices fermented with selenized mixed </w:t>
      </w:r>
      <w:r>
        <w:rPr>
          <w:lang w:val="en-US"/>
        </w:rPr>
        <w:t>cultures</w:t>
      </w:r>
      <w:r w:rsidRPr="00277AFC">
        <w:rPr>
          <w:lang w:val="en-US"/>
        </w:rPr>
        <w:t xml:space="preserve"> incre</w:t>
      </w:r>
      <w:r>
        <w:rPr>
          <w:lang w:val="en-US"/>
        </w:rPr>
        <w:t>ased</w:t>
      </w:r>
      <w:r w:rsidRPr="00277AFC">
        <w:rPr>
          <w:lang w:val="en-US"/>
        </w:rPr>
        <w:t xml:space="preserve"> 30% compared to the </w:t>
      </w:r>
      <w:r>
        <w:rPr>
          <w:lang w:val="en-US"/>
        </w:rPr>
        <w:t xml:space="preserve">non-fermented </w:t>
      </w:r>
      <w:r w:rsidRPr="00277AFC">
        <w:rPr>
          <w:lang w:val="en-US"/>
        </w:rPr>
        <w:t xml:space="preserve">juice. </w:t>
      </w:r>
      <w:r>
        <w:rPr>
          <w:lang w:val="en-US"/>
        </w:rPr>
        <w:t>T</w:t>
      </w:r>
      <w:r w:rsidRPr="00277AFC">
        <w:rPr>
          <w:lang w:val="en-US"/>
        </w:rPr>
        <w:t xml:space="preserve">he highest ABTS values were observed when the juice was fermented by the selenized mixed culture (15%), while the highest DPPH values were observed for the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 fermented juices, and the ones inoculated with the selenized </w:t>
      </w:r>
      <w:r>
        <w:rPr>
          <w:lang w:val="en-US"/>
        </w:rPr>
        <w:t xml:space="preserve">cells of </w:t>
      </w:r>
      <w:r w:rsidRPr="00277AFC">
        <w:rPr>
          <w:i/>
          <w:iCs/>
          <w:lang w:val="en-US"/>
        </w:rPr>
        <w:t xml:space="preserve">F. tropaeoli </w:t>
      </w:r>
      <w:r w:rsidRPr="00277AFC">
        <w:rPr>
          <w:lang w:val="en-US"/>
        </w:rPr>
        <w:t>CRL 2034 (14.78 ± 0.07; 13.16 ± 0.01 and 14.78 ± 0.</w:t>
      </w:r>
      <w:r w:rsidRPr="00D13FE3">
        <w:rPr>
          <w:lang w:val="en-US"/>
        </w:rPr>
        <w:t>04</w:t>
      </w:r>
      <w:r>
        <w:rPr>
          <w:lang w:val="en-US"/>
        </w:rPr>
        <w:t xml:space="preserve"> TEAC</w:t>
      </w:r>
      <w:r w:rsidRPr="00D13FE3">
        <w:rPr>
          <w:lang w:val="en-US"/>
        </w:rPr>
        <w:t>, respectively). The total Se concentration in the non-inoculated mango-passion fruit juice</w:t>
      </w:r>
      <w:r w:rsidRPr="00277AFC">
        <w:rPr>
          <w:lang w:val="en-US"/>
        </w:rPr>
        <w:t xml:space="preserve"> pellets was 20 µg/mL while </w:t>
      </w:r>
      <w:r>
        <w:rPr>
          <w:lang w:val="en-US"/>
        </w:rPr>
        <w:t xml:space="preserve">it was higher </w:t>
      </w:r>
      <w:r w:rsidRPr="00277AFC">
        <w:rPr>
          <w:lang w:val="en-US"/>
        </w:rPr>
        <w:t xml:space="preserve">in the fermented juices by selenized cells (60,58 ± 0,44; 64,77 ± 0,40 and 68,27±0,24 µg/mL for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2051, </w:t>
      </w:r>
      <w:r w:rsidRPr="00277AFC">
        <w:rPr>
          <w:i/>
          <w:iCs/>
          <w:lang w:val="en-US"/>
        </w:rPr>
        <w:t>F. tropaeoli</w:t>
      </w:r>
      <w:r w:rsidRPr="00277AFC">
        <w:rPr>
          <w:lang w:val="en-US"/>
        </w:rPr>
        <w:t xml:space="preserve"> CRL 2034 and the mixed culture). </w:t>
      </w:r>
      <w:r>
        <w:rPr>
          <w:lang w:val="en-US"/>
        </w:rPr>
        <w:t>Results show that s</w:t>
      </w:r>
      <w:r w:rsidRPr="00277AFC">
        <w:rPr>
          <w:lang w:val="en-US"/>
        </w:rPr>
        <w:t xml:space="preserve">elenized cells of the studied LAB could be used as a starter culture for fermenting a mango-passion fruit beverage enriched with Se; 200 mL of the </w:t>
      </w:r>
      <w:r w:rsidRPr="00277AFC">
        <w:rPr>
          <w:lang w:val="en-US"/>
        </w:rPr>
        <w:lastRenderedPageBreak/>
        <w:t xml:space="preserve">obtained beverage </w:t>
      </w:r>
      <w:r>
        <w:rPr>
          <w:lang w:val="en-US"/>
        </w:rPr>
        <w:t xml:space="preserve">offers </w:t>
      </w:r>
      <w:r w:rsidRPr="00277AFC">
        <w:rPr>
          <w:lang w:val="en-US"/>
        </w:rPr>
        <w:t>40% of the Se daily requirements</w:t>
      </w:r>
      <w:r>
        <w:rPr>
          <w:lang w:val="en-US"/>
        </w:rPr>
        <w:t>, according to the Argentinean CODEX</w:t>
      </w:r>
      <w:r w:rsidRPr="00277AFC">
        <w:rPr>
          <w:lang w:val="en-US"/>
        </w:rPr>
        <w:t>.</w:t>
      </w:r>
      <w:r w:rsidR="00051754" w:rsidRPr="002B0EF5">
        <w:rPr>
          <w:lang w:val="en-US"/>
        </w:rPr>
        <w:t xml:space="preserve">  </w:t>
      </w:r>
    </w:p>
    <w:p w14:paraId="3401677A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</w:p>
    <w:p w14:paraId="34EB8E82" w14:textId="77777777" w:rsidR="00051754" w:rsidRPr="002B0EF5" w:rsidRDefault="00051754">
      <w:pPr>
        <w:spacing w:after="0" w:line="240" w:lineRule="auto"/>
        <w:ind w:left="0" w:hanging="2"/>
        <w:rPr>
          <w:lang w:val="en-US"/>
        </w:rPr>
      </w:pPr>
    </w:p>
    <w:p w14:paraId="4BC6ED3D" w14:textId="2D14A029" w:rsidR="00C7676B" w:rsidRPr="002B0EF5" w:rsidRDefault="002B0EF5" w:rsidP="00C7676B">
      <w:pPr>
        <w:spacing w:after="0" w:line="240" w:lineRule="auto"/>
        <w:ind w:left="0" w:hanging="2"/>
        <w:contextualSpacing/>
        <w:rPr>
          <w:lang w:val="en-US"/>
        </w:rPr>
      </w:pPr>
      <w:r w:rsidRPr="002B0EF5">
        <w:rPr>
          <w:lang w:val="en-US"/>
        </w:rPr>
        <w:t>Keywords</w:t>
      </w:r>
      <w:r w:rsidR="00376927" w:rsidRPr="002B0EF5">
        <w:rPr>
          <w:lang w:val="en-US"/>
        </w:rPr>
        <w:t xml:space="preserve">: </w:t>
      </w:r>
      <w:r w:rsidRPr="00277AFC">
        <w:rPr>
          <w:lang w:val="en-US"/>
        </w:rPr>
        <w:t>Beverage</w:t>
      </w:r>
      <w:r>
        <w:rPr>
          <w:lang w:val="en-US"/>
        </w:rPr>
        <w:t>,</w:t>
      </w:r>
      <w:r w:rsidRPr="00277AFC">
        <w:rPr>
          <w:lang w:val="en-US"/>
        </w:rPr>
        <w:t xml:space="preserve"> Fruits</w:t>
      </w:r>
      <w:r>
        <w:rPr>
          <w:lang w:val="en-US"/>
        </w:rPr>
        <w:t xml:space="preserve">, </w:t>
      </w:r>
      <w:r w:rsidRPr="00277AFC">
        <w:rPr>
          <w:lang w:val="en-US"/>
        </w:rPr>
        <w:t>Selenium</w:t>
      </w:r>
      <w:r>
        <w:rPr>
          <w:lang w:val="en-US"/>
        </w:rPr>
        <w:t>,</w:t>
      </w:r>
      <w:r w:rsidRPr="00277AFC">
        <w:rPr>
          <w:lang w:val="en-US"/>
        </w:rPr>
        <w:t xml:space="preserve"> LAB</w:t>
      </w:r>
      <w:r>
        <w:rPr>
          <w:lang w:val="en-US"/>
        </w:rPr>
        <w:t xml:space="preserve">, </w:t>
      </w:r>
      <w:r w:rsidRPr="00277AFC">
        <w:rPr>
          <w:lang w:val="en-US"/>
        </w:rPr>
        <w:t>Fermentation</w:t>
      </w:r>
      <w:r>
        <w:rPr>
          <w:lang w:val="en-US"/>
        </w:rPr>
        <w:t>.</w:t>
      </w:r>
    </w:p>
    <w:p w14:paraId="29881919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</w:p>
    <w:p w14:paraId="6537A90C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</w:p>
    <w:sectPr w:rsidR="002322B1" w:rsidRPr="002B0EF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4B92" w14:textId="77777777" w:rsidR="006B6ECF" w:rsidRDefault="006B6E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325DC4" w14:textId="77777777" w:rsidR="006B6ECF" w:rsidRDefault="006B6E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30D1" w14:textId="77777777" w:rsidR="006B6ECF" w:rsidRDefault="006B6E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47A407" w14:textId="77777777" w:rsidR="006B6ECF" w:rsidRDefault="006B6E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55E2" w14:textId="77777777" w:rsidR="002322B1" w:rsidRDefault="0037692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C2DAB24" wp14:editId="0F0B5FC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B1"/>
    <w:rsid w:val="00051754"/>
    <w:rsid w:val="002322B1"/>
    <w:rsid w:val="002B0EF5"/>
    <w:rsid w:val="002D636B"/>
    <w:rsid w:val="00376927"/>
    <w:rsid w:val="0068223F"/>
    <w:rsid w:val="006B6ECF"/>
    <w:rsid w:val="00736A6C"/>
    <w:rsid w:val="009E0E2F"/>
    <w:rsid w:val="00AD1C14"/>
    <w:rsid w:val="00C15D20"/>
    <w:rsid w:val="00C166E3"/>
    <w:rsid w:val="00C7676B"/>
    <w:rsid w:val="00D92007"/>
    <w:rsid w:val="00E951E5"/>
    <w:rsid w:val="00E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0A6"/>
  <w15:docId w15:val="{8B40CFE3-D12C-4B77-908F-534418C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Carolina Crespo</cp:lastModifiedBy>
  <cp:revision>2</cp:revision>
  <dcterms:created xsi:type="dcterms:W3CDTF">2022-06-30T13:18:00Z</dcterms:created>
  <dcterms:modified xsi:type="dcterms:W3CDTF">2022-06-30T13:18:00Z</dcterms:modified>
</cp:coreProperties>
</file>