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DEF69" w14:textId="77777777" w:rsidR="0010072D" w:rsidRDefault="0010072D" w:rsidP="0010072D">
      <w:pPr>
        <w:spacing w:after="0" w:line="240" w:lineRule="auto"/>
        <w:ind w:leftChars="0" w:left="0" w:firstLineChars="0" w:firstLine="0"/>
      </w:pPr>
    </w:p>
    <w:p w14:paraId="2CB93EFE" w14:textId="51751ED2" w:rsidR="00132082" w:rsidRPr="0020719E" w:rsidRDefault="0020719E" w:rsidP="005E3D30">
      <w:pPr>
        <w:spacing w:after="0" w:line="240" w:lineRule="auto"/>
        <w:ind w:left="0" w:hanging="2"/>
        <w:jc w:val="center"/>
        <w:rPr>
          <w:b/>
        </w:rPr>
      </w:pPr>
      <w:r w:rsidRPr="0020719E">
        <w:rPr>
          <w:b/>
        </w:rPr>
        <w:t>Caracterización de pan</w:t>
      </w:r>
      <w:r w:rsidR="00BE787F">
        <w:rPr>
          <w:b/>
        </w:rPr>
        <w:t xml:space="preserve"> libre de gluten elaborado</w:t>
      </w:r>
      <w:r w:rsidRPr="0020719E">
        <w:rPr>
          <w:b/>
        </w:rPr>
        <w:t xml:space="preserve"> a partir de materias primas </w:t>
      </w:r>
      <w:r w:rsidR="00D7638C">
        <w:rPr>
          <w:b/>
        </w:rPr>
        <w:t>alternativas regionales</w:t>
      </w:r>
    </w:p>
    <w:p w14:paraId="4024040C" w14:textId="77777777" w:rsidR="0020719E" w:rsidRDefault="0020719E" w:rsidP="005E3D30">
      <w:pPr>
        <w:spacing w:after="0" w:line="240" w:lineRule="auto"/>
        <w:ind w:left="0" w:hanging="2"/>
        <w:jc w:val="center"/>
      </w:pPr>
    </w:p>
    <w:p w14:paraId="59B2518A" w14:textId="77777777" w:rsidR="005E3D30" w:rsidRDefault="005E3D30" w:rsidP="009A7791">
      <w:pPr>
        <w:spacing w:after="0" w:line="240" w:lineRule="auto"/>
        <w:ind w:left="0" w:hanging="2"/>
        <w:jc w:val="center"/>
      </w:pPr>
      <w:r>
        <w:t>Irigoytia K</w:t>
      </w:r>
      <w:r w:rsidR="007D333C">
        <w:t>F</w:t>
      </w:r>
      <w:r>
        <w:t>. (1,3), de Escalada Pla M. (2)</w:t>
      </w:r>
      <w:r w:rsidR="009A7791">
        <w:t xml:space="preserve"> y Genevois C</w:t>
      </w:r>
      <w:r w:rsidR="007D333C">
        <w:t>E</w:t>
      </w:r>
      <w:r w:rsidR="009A7791">
        <w:t>. (1,3).</w:t>
      </w:r>
    </w:p>
    <w:p w14:paraId="28EF0EF9" w14:textId="77777777" w:rsidR="005E3D30" w:rsidRDefault="005E3D30" w:rsidP="005E3D30">
      <w:pPr>
        <w:spacing w:after="0" w:line="240" w:lineRule="auto"/>
        <w:ind w:left="0" w:hanging="2"/>
        <w:jc w:val="center"/>
      </w:pPr>
    </w:p>
    <w:p w14:paraId="761E3940" w14:textId="77777777" w:rsidR="005E3D30" w:rsidRDefault="005E3D30" w:rsidP="005E3D30">
      <w:pPr>
        <w:spacing w:after="120" w:line="240" w:lineRule="auto"/>
        <w:ind w:left="0" w:hanging="2"/>
      </w:pPr>
      <w:r>
        <w:t xml:space="preserve">(1) </w:t>
      </w:r>
      <w:r w:rsidRPr="00904E48">
        <w:rPr>
          <w:color w:val="000000" w:themeColor="text1"/>
          <w:szCs w:val="21"/>
          <w:shd w:val="clear" w:color="auto" w:fill="FFFFFF"/>
        </w:rPr>
        <w:t xml:space="preserve">Instituto de Ciencia y Tecnología de los Alimentos de Entre Ríos </w:t>
      </w:r>
      <w:r>
        <w:rPr>
          <w:color w:val="000000" w:themeColor="text1"/>
          <w:szCs w:val="21"/>
          <w:shd w:val="clear" w:color="auto" w:fill="FFFFFF"/>
        </w:rPr>
        <w:t>(ICTAER)</w:t>
      </w:r>
      <w:r>
        <w:t xml:space="preserve"> Perón 64, Gualeguaychú, Entre Ríos, Argentina</w:t>
      </w:r>
    </w:p>
    <w:p w14:paraId="00874171" w14:textId="77777777" w:rsidR="005E3D30" w:rsidRPr="005131C3" w:rsidRDefault="005E3D30" w:rsidP="005E3D30">
      <w:pPr>
        <w:spacing w:line="240" w:lineRule="auto"/>
        <w:ind w:left="0" w:hanging="2"/>
        <w:rPr>
          <w:color w:val="000000" w:themeColor="text1"/>
        </w:rPr>
      </w:pPr>
      <w:r>
        <w:t>(2) Instituto de Tecnología de Alimentos y Procesos Químicos (ITAPROQ-</w:t>
      </w:r>
      <w:r w:rsidRPr="005131C3">
        <w:rPr>
          <w:color w:val="000000" w:themeColor="text1"/>
        </w:rPr>
        <w:t xml:space="preserve">UBA), </w:t>
      </w:r>
      <w:r w:rsidRPr="005131C3">
        <w:rPr>
          <w:color w:val="000000" w:themeColor="text1"/>
          <w:shd w:val="clear" w:color="auto" w:fill="FFFFFF"/>
        </w:rPr>
        <w:t>Av. Intendente Güiraldes 2620</w:t>
      </w:r>
      <w:r w:rsidRPr="005131C3">
        <w:rPr>
          <w:color w:val="000000" w:themeColor="text1"/>
        </w:rPr>
        <w:t xml:space="preserve"> </w:t>
      </w:r>
      <w:r w:rsidRPr="005131C3">
        <w:rPr>
          <w:color w:val="000000" w:themeColor="text1"/>
          <w:shd w:val="clear" w:color="auto" w:fill="FFFFFF"/>
        </w:rPr>
        <w:t>C1428BGA – Pabellón de Industrias</w:t>
      </w:r>
      <w:r w:rsidRPr="005131C3">
        <w:rPr>
          <w:color w:val="000000" w:themeColor="text1"/>
        </w:rPr>
        <w:t xml:space="preserve">, </w:t>
      </w:r>
      <w:r w:rsidRPr="005131C3">
        <w:rPr>
          <w:color w:val="000000" w:themeColor="text1"/>
          <w:shd w:val="clear" w:color="auto" w:fill="FFFFFF"/>
        </w:rPr>
        <w:t>Ciudad Universitaria</w:t>
      </w:r>
      <w:r w:rsidRPr="005131C3">
        <w:rPr>
          <w:color w:val="000000" w:themeColor="text1"/>
        </w:rPr>
        <w:t>, Buenos Aires, Argentina.</w:t>
      </w:r>
    </w:p>
    <w:p w14:paraId="5FE642D2" w14:textId="77777777" w:rsidR="005E3D30" w:rsidRDefault="005E3D30" w:rsidP="005E3D30">
      <w:pPr>
        <w:spacing w:line="240" w:lineRule="auto"/>
        <w:ind w:left="0" w:hanging="2"/>
      </w:pPr>
      <w:r>
        <w:t>(3) Consejo Nacional de Investigaciones Científicas y Técnicas (CONICET), Godoy Cruz 2290, Ciudad Autónoma de Buenos Aires, Argentina.</w:t>
      </w:r>
    </w:p>
    <w:p w14:paraId="6874C0F7" w14:textId="6A3C0344" w:rsidR="00D250D2" w:rsidRDefault="00120B7F" w:rsidP="00D250D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rStyle w:val="Hipervnculo"/>
          <w:color w:val="000000" w:themeColor="text1"/>
          <w:u w:val="none"/>
        </w:rPr>
      </w:pPr>
      <w:hyperlink r:id="rId9" w:history="1">
        <w:r w:rsidR="00D250D2" w:rsidRPr="0086132C">
          <w:rPr>
            <w:rStyle w:val="Hipervnculo"/>
          </w:rPr>
          <w:t>karen.irigoytia@uner.edu.ar</w:t>
        </w:r>
      </w:hyperlink>
    </w:p>
    <w:p w14:paraId="1B565787" w14:textId="77777777" w:rsidR="005E3D30" w:rsidRDefault="005E3D30" w:rsidP="005E3D30">
      <w:pPr>
        <w:spacing w:after="0" w:line="240" w:lineRule="auto"/>
        <w:ind w:left="0" w:hanging="2"/>
      </w:pPr>
      <w:bookmarkStart w:id="0" w:name="_GoBack"/>
      <w:bookmarkEnd w:id="0"/>
    </w:p>
    <w:p w14:paraId="5A68865F" w14:textId="77777777" w:rsidR="005E3D30" w:rsidRDefault="005E3D30" w:rsidP="005E3D30">
      <w:pPr>
        <w:spacing w:after="0" w:line="240" w:lineRule="auto"/>
        <w:ind w:left="0" w:hanging="2"/>
      </w:pPr>
      <w:r>
        <w:t>RESUMEN</w:t>
      </w:r>
      <w:r w:rsidR="00AD2705">
        <w:t xml:space="preserve"> </w:t>
      </w:r>
    </w:p>
    <w:p w14:paraId="76F7CA6B" w14:textId="77777777" w:rsidR="005E3D30" w:rsidRDefault="005E3D30" w:rsidP="00BF78C6">
      <w:pPr>
        <w:spacing w:after="0" w:line="240" w:lineRule="auto"/>
        <w:ind w:left="0" w:hanging="2"/>
      </w:pPr>
    </w:p>
    <w:p w14:paraId="1B1D57E5" w14:textId="2D64B858" w:rsidR="00A410E3" w:rsidRPr="00420544" w:rsidRDefault="004041C9" w:rsidP="00351FDB">
      <w:pPr>
        <w:spacing w:after="0" w:line="240" w:lineRule="auto"/>
        <w:ind w:leftChars="0" w:left="0" w:firstLineChars="0" w:firstLine="0"/>
        <w:rPr>
          <w:strike/>
          <w:color w:val="000000"/>
        </w:rPr>
      </w:pPr>
      <w:r>
        <w:rPr>
          <w:noProof/>
          <w:color w:val="000000" w:themeColor="text1"/>
        </w:rPr>
        <w:t>Los</w:t>
      </w:r>
      <w:r w:rsidR="00D250D2">
        <w:rPr>
          <w:noProof/>
          <w:color w:val="000000" w:themeColor="text1"/>
        </w:rPr>
        <w:t xml:space="preserve"> panes libres de gluten (LG)</w:t>
      </w:r>
      <w:r w:rsidR="00B855F2">
        <w:rPr>
          <w:noProof/>
          <w:color w:val="000000" w:themeColor="text1"/>
        </w:rPr>
        <w:t xml:space="preserve"> poseen en su composición una </w:t>
      </w:r>
      <w:r w:rsidR="00A730B2">
        <w:rPr>
          <w:noProof/>
          <w:color w:val="000000" w:themeColor="text1"/>
        </w:rPr>
        <w:t>c</w:t>
      </w:r>
      <w:r w:rsidR="00A730B2" w:rsidRPr="00A730B2">
        <w:rPr>
          <w:noProof/>
          <w:color w:val="000000" w:themeColor="text1"/>
        </w:rPr>
        <w:t>omb</w:t>
      </w:r>
      <w:r w:rsidR="00A730B2">
        <w:rPr>
          <w:noProof/>
          <w:color w:val="000000" w:themeColor="text1"/>
        </w:rPr>
        <w:t>inación de ingredientes y</w:t>
      </w:r>
      <w:r w:rsidR="00A730B2" w:rsidRPr="00A730B2">
        <w:rPr>
          <w:noProof/>
          <w:color w:val="000000" w:themeColor="text1"/>
        </w:rPr>
        <w:t xml:space="preserve"> aditivos</w:t>
      </w:r>
      <w:r w:rsidR="00B855F2">
        <w:rPr>
          <w:noProof/>
          <w:color w:val="000000" w:themeColor="text1"/>
        </w:rPr>
        <w:t xml:space="preserve">, que de alguna manera, </w:t>
      </w:r>
      <w:r w:rsidR="00D250D2">
        <w:rPr>
          <w:noProof/>
          <w:color w:val="000000" w:themeColor="text1"/>
        </w:rPr>
        <w:t xml:space="preserve">intentan </w:t>
      </w:r>
      <w:r w:rsidR="00B855F2">
        <w:rPr>
          <w:noProof/>
          <w:color w:val="000000" w:themeColor="text1"/>
        </w:rPr>
        <w:t>reemplaza</w:t>
      </w:r>
      <w:r w:rsidR="00D250D2">
        <w:rPr>
          <w:noProof/>
          <w:color w:val="000000" w:themeColor="text1"/>
        </w:rPr>
        <w:t>r</w:t>
      </w:r>
      <w:r w:rsidR="00B855F2">
        <w:rPr>
          <w:noProof/>
          <w:color w:val="000000" w:themeColor="text1"/>
        </w:rPr>
        <w:t xml:space="preserve"> las características </w:t>
      </w:r>
      <w:r w:rsidR="00A730B2">
        <w:rPr>
          <w:noProof/>
          <w:color w:val="000000" w:themeColor="text1"/>
        </w:rPr>
        <w:t xml:space="preserve">que otorga </w:t>
      </w:r>
      <w:r w:rsidR="00D250D2">
        <w:rPr>
          <w:noProof/>
          <w:color w:val="000000" w:themeColor="text1"/>
        </w:rPr>
        <w:t xml:space="preserve">el gluten </w:t>
      </w:r>
      <w:r w:rsidR="00A730B2">
        <w:rPr>
          <w:noProof/>
          <w:color w:val="000000" w:themeColor="text1"/>
        </w:rPr>
        <w:t>a los</w:t>
      </w:r>
      <w:r w:rsidR="00B855F2">
        <w:rPr>
          <w:noProof/>
          <w:color w:val="000000" w:themeColor="text1"/>
        </w:rPr>
        <w:t xml:space="preserve"> panes convencionales</w:t>
      </w:r>
      <w:r w:rsidR="00351FDB">
        <w:rPr>
          <w:noProof/>
          <w:color w:val="000000" w:themeColor="text1"/>
        </w:rPr>
        <w:t xml:space="preserve"> con</w:t>
      </w:r>
      <w:r w:rsidR="00A730B2">
        <w:rPr>
          <w:noProof/>
          <w:color w:val="000000" w:themeColor="text1"/>
        </w:rPr>
        <w:t xml:space="preserve"> trigo</w:t>
      </w:r>
      <w:r w:rsidR="00B855F2">
        <w:rPr>
          <w:noProof/>
          <w:color w:val="000000" w:themeColor="text1"/>
        </w:rPr>
        <w:t xml:space="preserve">. </w:t>
      </w:r>
      <w:r w:rsidR="00A730B2">
        <w:rPr>
          <w:noProof/>
          <w:color w:val="000000" w:themeColor="text1"/>
        </w:rPr>
        <w:t>Al comparar ambos productos</w:t>
      </w:r>
      <w:r w:rsidR="00927C8F">
        <w:t>, a</w:t>
      </w:r>
      <w:r w:rsidR="00A730B2">
        <w:t>demás,</w:t>
      </w:r>
      <w:r w:rsidR="00927C8F">
        <w:t xml:space="preserve"> de ser de una calidad tecnológica inferior,</w:t>
      </w:r>
      <w:r w:rsidR="00A730B2">
        <w:t xml:space="preserve"> los panes LG son elaborado</w:t>
      </w:r>
      <w:r w:rsidR="00351FDB">
        <w:t xml:space="preserve">s a partir de harinas y/o </w:t>
      </w:r>
      <w:r w:rsidR="00A730B2">
        <w:t xml:space="preserve">almidones refinados por lo que suelen tener </w:t>
      </w:r>
      <w:r w:rsidR="00D250D2">
        <w:t xml:space="preserve">muy </w:t>
      </w:r>
      <w:r w:rsidR="00351FDB">
        <w:t>bajo</w:t>
      </w:r>
      <w:r w:rsidR="00A730B2">
        <w:t xml:space="preserve"> contenido de fibra dietética, vitaminas y minerales, y </w:t>
      </w:r>
      <w:r w:rsidR="00D250D2">
        <w:t>elevado</w:t>
      </w:r>
      <w:r w:rsidR="00927C8F">
        <w:t xml:space="preserve"> contenido de </w:t>
      </w:r>
      <w:r w:rsidR="00A730B2">
        <w:t>carbohidratos simples</w:t>
      </w:r>
      <w:r w:rsidR="00D250D2">
        <w:t xml:space="preserve"> e índice glucémico</w:t>
      </w:r>
      <w:r w:rsidR="00A730B2">
        <w:t xml:space="preserve">. </w:t>
      </w:r>
      <w:r w:rsidR="00392E51" w:rsidRPr="00392E51">
        <w:rPr>
          <w:noProof/>
          <w:color w:val="000000" w:themeColor="text1"/>
        </w:rPr>
        <w:t>La utilización de materias primas</w:t>
      </w:r>
      <w:r w:rsidR="00D7638C">
        <w:rPr>
          <w:noProof/>
          <w:color w:val="000000" w:themeColor="text1"/>
        </w:rPr>
        <w:t xml:space="preserve"> alternativas regionales</w:t>
      </w:r>
      <w:r w:rsidR="00392E51" w:rsidRPr="00392E51">
        <w:rPr>
          <w:noProof/>
          <w:color w:val="000000" w:themeColor="text1"/>
        </w:rPr>
        <w:t xml:space="preserve"> como el </w:t>
      </w:r>
      <w:r w:rsidR="00392E51" w:rsidRPr="00CF71C5">
        <w:t>salvado de arroz (SA)</w:t>
      </w:r>
      <w:r w:rsidR="00392E51">
        <w:t xml:space="preserve">, </w:t>
      </w:r>
      <w:r w:rsidR="00392E51" w:rsidRPr="00CF71C5">
        <w:t>mijo y</w:t>
      </w:r>
      <w:r w:rsidR="00392E51">
        <w:t xml:space="preserve"> expeller de soja</w:t>
      </w:r>
      <w:r w:rsidR="00392E51" w:rsidRPr="00CF71C5">
        <w:t xml:space="preserve"> </w:t>
      </w:r>
      <w:r w:rsidR="00392E51">
        <w:t>(</w:t>
      </w:r>
      <w:r w:rsidR="00392E51" w:rsidRPr="00CF71C5">
        <w:t>ES</w:t>
      </w:r>
      <w:r w:rsidR="00392E51">
        <w:t>)</w:t>
      </w:r>
      <w:r w:rsidR="00392E51" w:rsidRPr="00392E51">
        <w:rPr>
          <w:noProof/>
          <w:color w:val="000000" w:themeColor="text1"/>
        </w:rPr>
        <w:t xml:space="preserve"> podrían mejorar las características </w:t>
      </w:r>
      <w:r w:rsidR="00392E51" w:rsidRPr="00392E51">
        <w:rPr>
          <w:color w:val="000000" w:themeColor="text1"/>
        </w:rPr>
        <w:t xml:space="preserve">tecnológicas </w:t>
      </w:r>
      <w:r w:rsidR="00B855F2">
        <w:rPr>
          <w:color w:val="000000" w:themeColor="text1"/>
        </w:rPr>
        <w:t xml:space="preserve">y nutricionales </w:t>
      </w:r>
      <w:r w:rsidR="00392E51" w:rsidRPr="00392E51">
        <w:rPr>
          <w:color w:val="000000" w:themeColor="text1"/>
        </w:rPr>
        <w:t xml:space="preserve">de los panes </w:t>
      </w:r>
      <w:r w:rsidR="00927C8F">
        <w:t>LG.</w:t>
      </w:r>
      <w:r w:rsidR="00D250D2">
        <w:t xml:space="preserve"> </w:t>
      </w:r>
      <w:r w:rsidR="00AD29B1">
        <w:t xml:space="preserve">El objetivo del </w:t>
      </w:r>
      <w:r w:rsidR="00D250D2">
        <w:t xml:space="preserve">presente </w:t>
      </w:r>
      <w:r w:rsidR="00AD29B1">
        <w:t xml:space="preserve">trabajo fue </w:t>
      </w:r>
      <w:r w:rsidR="00D250D2">
        <w:t>determinar</w:t>
      </w:r>
      <w:r w:rsidR="00AD29B1">
        <w:t xml:space="preserve"> el tiempo óptimo de fermentación </w:t>
      </w:r>
      <w:r w:rsidR="00D7638C">
        <w:t xml:space="preserve">(TOF) </w:t>
      </w:r>
      <w:r w:rsidR="00AD29B1">
        <w:t>y</w:t>
      </w:r>
      <w:r w:rsidR="00D7638C">
        <w:t xml:space="preserve"> </w:t>
      </w:r>
      <w:r w:rsidR="00AD29B1">
        <w:t>las características fisicoquímicas</w:t>
      </w:r>
      <w:r w:rsidR="00D250D2">
        <w:t xml:space="preserve">, </w:t>
      </w:r>
      <w:r w:rsidR="00AD29B1">
        <w:t xml:space="preserve">texturales </w:t>
      </w:r>
      <w:r w:rsidR="00D250D2">
        <w:t>y nutricionales de una formulación óptima de pan LG</w:t>
      </w:r>
      <w:r w:rsidR="00AD29B1">
        <w:t xml:space="preserve"> a base de </w:t>
      </w:r>
      <w:r w:rsidR="00D250D2">
        <w:t>harinas alternativas regionales,</w:t>
      </w:r>
      <w:r w:rsidR="00D250D2">
        <w:rPr>
          <w:vertAlign w:val="superscript"/>
        </w:rPr>
        <w:t xml:space="preserve"> </w:t>
      </w:r>
      <w:r w:rsidR="00D250D2">
        <w:rPr>
          <w:color w:val="000000" w:themeColor="text1"/>
        </w:rPr>
        <w:t>obtenida previamente por u</w:t>
      </w:r>
      <w:r w:rsidR="00D250D2">
        <w:t xml:space="preserve">n diseño factorial </w:t>
      </w:r>
      <w:r w:rsidR="00D250D2" w:rsidRPr="00CF71C5">
        <w:t>2</w:t>
      </w:r>
      <w:r w:rsidR="00D250D2" w:rsidRPr="00CF71C5">
        <w:rPr>
          <w:vertAlign w:val="superscript"/>
        </w:rPr>
        <w:t>3</w:t>
      </w:r>
      <w:r w:rsidR="00AD29B1">
        <w:t xml:space="preserve">. </w:t>
      </w:r>
      <w:r w:rsidR="00D7638C">
        <w:t>Para ello</w:t>
      </w:r>
      <w:r w:rsidR="00AD29B1">
        <w:t>, se utilizó</w:t>
      </w:r>
      <w:r w:rsidR="0066458E">
        <w:t xml:space="preserve"> la función </w:t>
      </w:r>
      <w:r w:rsidR="001E4748" w:rsidRPr="001E4748">
        <w:t>de deseabilida</w:t>
      </w:r>
      <w:r w:rsidR="001E4748">
        <w:t>d</w:t>
      </w:r>
      <w:r w:rsidR="001E4748" w:rsidRPr="00EA7948">
        <w:t xml:space="preserve"> global </w:t>
      </w:r>
      <w:r w:rsidR="00AD29B1">
        <w:t>optimizando</w:t>
      </w:r>
      <w:r w:rsidR="001E4748" w:rsidRPr="00EA7948">
        <w:t xml:space="preserve"> </w:t>
      </w:r>
      <w:r w:rsidR="00AD29B1">
        <w:t>la</w:t>
      </w:r>
      <w:r w:rsidR="00D7638C">
        <w:t>s</w:t>
      </w:r>
      <w:r w:rsidR="00AD29B1">
        <w:t xml:space="preserve"> respuestas de </w:t>
      </w:r>
      <w:r w:rsidR="00600F55">
        <w:t xml:space="preserve">pérdida de peso (PP), </w:t>
      </w:r>
      <w:r w:rsidR="00D250D2">
        <w:t>volumen especifico (</w:t>
      </w:r>
      <w:r w:rsidR="00AD29B1">
        <w:t>VE</w:t>
      </w:r>
      <w:r w:rsidR="00D250D2">
        <w:t>, AACC 10-05)</w:t>
      </w:r>
      <w:r w:rsidR="00600F55">
        <w:t>,</w:t>
      </w:r>
      <w:r w:rsidR="00AD29B1">
        <w:t xml:space="preserve"> color</w:t>
      </w:r>
      <w:r w:rsidR="00D250D2">
        <w:t xml:space="preserve"> (colorimétro)</w:t>
      </w:r>
      <w:r w:rsidR="00AD29B1">
        <w:t>, firmeza</w:t>
      </w:r>
      <w:r w:rsidR="00D250D2">
        <w:t xml:space="preserve"> (AACC 74-09) y</w:t>
      </w:r>
      <w:r w:rsidR="00AD29B1">
        <w:t xml:space="preserve"> alveolado de la miga</w:t>
      </w:r>
      <w:r w:rsidR="00420544">
        <w:t>;</w:t>
      </w:r>
      <w:r w:rsidR="00CE192E">
        <w:t xml:space="preserve"> </w:t>
      </w:r>
      <w:r w:rsidR="00D7638C">
        <w:t xml:space="preserve">dando como resultado un pan </w:t>
      </w:r>
      <w:r w:rsidR="00D250D2">
        <w:t xml:space="preserve">LG </w:t>
      </w:r>
      <w:r w:rsidR="00D7638C">
        <w:t>con SA</w:t>
      </w:r>
      <w:r w:rsidR="00D250D2">
        <w:t xml:space="preserve"> (15%)</w:t>
      </w:r>
      <w:r w:rsidR="00D7638C">
        <w:t xml:space="preserve">, mijo </w:t>
      </w:r>
      <w:r w:rsidR="00D250D2">
        <w:t>(15%)</w:t>
      </w:r>
      <w:r w:rsidR="00420544">
        <w:t>,</w:t>
      </w:r>
      <w:r w:rsidR="00D7638C">
        <w:t xml:space="preserve"> ES</w:t>
      </w:r>
      <w:r w:rsidR="00D250D2">
        <w:t xml:space="preserve"> (15</w:t>
      </w:r>
      <w:r w:rsidR="00D250D2" w:rsidRPr="0034462A">
        <w:t>%)</w:t>
      </w:r>
      <w:r w:rsidR="00420544" w:rsidRPr="0034462A">
        <w:t>, harina de arroz (</w:t>
      </w:r>
      <w:r w:rsidR="0034462A" w:rsidRPr="0034462A">
        <w:t>22,5</w:t>
      </w:r>
      <w:r w:rsidR="00420544" w:rsidRPr="0034462A">
        <w:t>%) y almidón de maíz (</w:t>
      </w:r>
      <w:r w:rsidR="0034462A" w:rsidRPr="0034462A">
        <w:t>32,5</w:t>
      </w:r>
      <w:r w:rsidR="00420544" w:rsidRPr="0034462A">
        <w:t>%)</w:t>
      </w:r>
      <w:r w:rsidR="001E4748" w:rsidRPr="0034462A">
        <w:t>.</w:t>
      </w:r>
      <w:r w:rsidR="00D7638C" w:rsidRPr="0034462A">
        <w:t xml:space="preserve"> </w:t>
      </w:r>
      <w:r w:rsidR="00D250D2" w:rsidRPr="0034462A">
        <w:t xml:space="preserve">Sobre la formulación óptima se determinó el TOF </w:t>
      </w:r>
      <w:r w:rsidR="00420544" w:rsidRPr="0034462A">
        <w:t>a partir del volumen de la masa (cm</w:t>
      </w:r>
      <w:r w:rsidR="00420544" w:rsidRPr="0034462A">
        <w:rPr>
          <w:vertAlign w:val="superscript"/>
        </w:rPr>
        <w:t>3</w:t>
      </w:r>
      <w:r w:rsidR="00420544" w:rsidRPr="0034462A">
        <w:t>) en función del</w:t>
      </w:r>
      <w:r w:rsidR="00420544">
        <w:t xml:space="preserve"> tiempo (min) con</w:t>
      </w:r>
      <w:r w:rsidR="00D250D2">
        <w:t xml:space="preserve"> la ecuación de Boltzmann, </w:t>
      </w:r>
      <w:r w:rsidR="00315152">
        <w:t>las propiedades de empaste</w:t>
      </w:r>
      <w:r w:rsidR="00D250D2">
        <w:t xml:space="preserve"> </w:t>
      </w:r>
      <w:r w:rsidR="00420544">
        <w:t xml:space="preserve">usando un </w:t>
      </w:r>
      <w:r w:rsidR="00600F55">
        <w:t>reómetro</w:t>
      </w:r>
      <w:r w:rsidR="00420544">
        <w:t xml:space="preserve">, </w:t>
      </w:r>
      <w:r w:rsidR="00D250D2">
        <w:t xml:space="preserve">y </w:t>
      </w:r>
      <w:r w:rsidR="00420544">
        <w:t xml:space="preserve">se analizó </w:t>
      </w:r>
      <w:r w:rsidR="00600F55">
        <w:t>el rotulado nutricional (C.A.A.)</w:t>
      </w:r>
      <w:r w:rsidR="00315152">
        <w:t xml:space="preserve">. </w:t>
      </w:r>
      <w:r w:rsidR="00600F55">
        <w:t>L</w:t>
      </w:r>
      <w:r w:rsidR="00D7638C">
        <w:t xml:space="preserve">a formulación con almidón de maíz </w:t>
      </w:r>
      <w:r w:rsidR="00420544">
        <w:t xml:space="preserve">(100%) </w:t>
      </w:r>
      <w:r w:rsidR="00600F55">
        <w:t xml:space="preserve">se utilizó como sistema </w:t>
      </w:r>
      <w:r w:rsidR="00D7638C">
        <w:t xml:space="preserve">control. </w:t>
      </w:r>
      <w:r w:rsidR="00600F55">
        <w:t xml:space="preserve">El pan LG óptimo se caracterizó por presentar un </w:t>
      </w:r>
      <w:r w:rsidR="00D7638C">
        <w:t>TOF de 26,5 min</w:t>
      </w:r>
      <w:r w:rsidR="00600F55">
        <w:t xml:space="preserve"> a 30°C y 90% HR, </w:t>
      </w:r>
      <w:r w:rsidR="00420544">
        <w:t xml:space="preserve">una </w:t>
      </w:r>
      <w:r w:rsidR="00600F55">
        <w:t xml:space="preserve">PP de </w:t>
      </w:r>
      <w:r w:rsidR="00600F55">
        <w:rPr>
          <w:color w:val="000000"/>
        </w:rPr>
        <w:t xml:space="preserve">17,8±0,1%, </w:t>
      </w:r>
      <w:r w:rsidR="00420544">
        <w:rPr>
          <w:color w:val="000000"/>
        </w:rPr>
        <w:t xml:space="preserve">un </w:t>
      </w:r>
      <w:r w:rsidR="00600F55">
        <w:t>VE de 2,2</w:t>
      </w:r>
      <w:r w:rsidR="00600F55" w:rsidRPr="0034462A">
        <w:t>±0,1</w:t>
      </w:r>
      <w:r w:rsidR="00600F55">
        <w:t xml:space="preserve"> cm</w:t>
      </w:r>
      <w:r w:rsidR="00600F55" w:rsidRPr="002B32AE">
        <w:rPr>
          <w:vertAlign w:val="superscript"/>
        </w:rPr>
        <w:t>3</w:t>
      </w:r>
      <w:r w:rsidR="00600F55">
        <w:t>/g,</w:t>
      </w:r>
      <w:r w:rsidR="00525EAD">
        <w:rPr>
          <w:color w:val="000000"/>
        </w:rPr>
        <w:t xml:space="preserve"> y </w:t>
      </w:r>
      <w:r w:rsidR="00600F55">
        <w:rPr>
          <w:color w:val="000000"/>
        </w:rPr>
        <w:t>una</w:t>
      </w:r>
      <w:r w:rsidR="00525EAD">
        <w:t xml:space="preserve"> firmeza </w:t>
      </w:r>
      <w:r w:rsidR="00CE192E">
        <w:t xml:space="preserve">de </w:t>
      </w:r>
      <w:r w:rsidR="00CE192E" w:rsidRPr="00CE192E">
        <w:t>0,17</w:t>
      </w:r>
      <w:r w:rsidR="00A410E3">
        <w:rPr>
          <w:color w:val="000000"/>
        </w:rPr>
        <w:t>±0,02</w:t>
      </w:r>
      <w:r w:rsidR="00351FDB">
        <w:rPr>
          <w:color w:val="000000"/>
        </w:rPr>
        <w:t xml:space="preserve"> </w:t>
      </w:r>
      <w:r w:rsidR="00600F55">
        <w:rPr>
          <w:color w:val="000000"/>
        </w:rPr>
        <w:t>M</w:t>
      </w:r>
      <w:r w:rsidR="00351FDB">
        <w:rPr>
          <w:color w:val="000000"/>
        </w:rPr>
        <w:t>Pa</w:t>
      </w:r>
      <w:r w:rsidR="00A410E3">
        <w:t>. La</w:t>
      </w:r>
      <w:r w:rsidR="00600F55">
        <w:t xml:space="preserve"> incorporación de SA, mijo y ES</w:t>
      </w:r>
      <w:r w:rsidR="00A410E3">
        <w:t xml:space="preserve"> influyó en los parámetros cromáticos</w:t>
      </w:r>
      <w:r w:rsidR="0020719E">
        <w:t xml:space="preserve"> (L*a*b*)</w:t>
      </w:r>
      <w:r w:rsidR="00600F55">
        <w:t xml:space="preserve">, presentando una corteza y miga con valores de </w:t>
      </w:r>
      <w:r w:rsidR="00A410E3" w:rsidRPr="00847D4B">
        <w:rPr>
          <w:rFonts w:eastAsia="Times New Roman"/>
          <w:color w:val="000000"/>
        </w:rPr>
        <w:t>ángulo de tono</w:t>
      </w:r>
      <w:r w:rsidR="00A410E3">
        <w:rPr>
          <w:rFonts w:eastAsia="Times New Roman"/>
          <w:color w:val="000000"/>
        </w:rPr>
        <w:t xml:space="preserve"> </w:t>
      </w:r>
      <w:r w:rsidR="00927C8F">
        <w:rPr>
          <w:rFonts w:eastAsia="Times New Roman"/>
          <w:color w:val="000000"/>
        </w:rPr>
        <w:t>(h)</w:t>
      </w:r>
      <w:r w:rsidR="00600F55">
        <w:rPr>
          <w:rFonts w:eastAsia="Times New Roman"/>
          <w:color w:val="000000"/>
        </w:rPr>
        <w:t xml:space="preserve"> c</w:t>
      </w:r>
      <w:r w:rsidR="00BB2700">
        <w:rPr>
          <w:rFonts w:eastAsia="Times New Roman"/>
          <w:color w:val="000000"/>
        </w:rPr>
        <w:t>ercano</w:t>
      </w:r>
      <w:r w:rsidR="00600F55">
        <w:rPr>
          <w:rFonts w:eastAsia="Times New Roman"/>
          <w:color w:val="000000"/>
        </w:rPr>
        <w:t>s a 45° y 90</w:t>
      </w:r>
      <w:r w:rsidR="00BB2700">
        <w:rPr>
          <w:rFonts w:eastAsia="Times New Roman"/>
          <w:color w:val="000000"/>
        </w:rPr>
        <w:t>°</w:t>
      </w:r>
      <w:r w:rsidR="00A410E3" w:rsidRPr="00847D4B">
        <w:rPr>
          <w:rFonts w:eastAsia="Times New Roman"/>
          <w:color w:val="000000"/>
        </w:rPr>
        <w:t xml:space="preserve">, </w:t>
      </w:r>
      <w:r w:rsidR="00A410E3" w:rsidRPr="00847D4B">
        <w:t xml:space="preserve">lo que se traduce en un tono </w:t>
      </w:r>
      <w:r w:rsidR="00600F55">
        <w:t xml:space="preserve">rojizo </w:t>
      </w:r>
      <w:r w:rsidR="00420544">
        <w:t xml:space="preserve">y </w:t>
      </w:r>
      <w:r w:rsidR="00A410E3" w:rsidRPr="00847D4B">
        <w:t>amarillo</w:t>
      </w:r>
      <w:r w:rsidR="00600F55">
        <w:t>, respectivamente</w:t>
      </w:r>
      <w:r w:rsidR="00A02CE6">
        <w:t>.</w:t>
      </w:r>
      <w:r w:rsidR="00BF78C6">
        <w:t xml:space="preserve"> </w:t>
      </w:r>
      <w:r w:rsidR="00D7638C" w:rsidRPr="00420544">
        <w:t xml:space="preserve">De esta manera, </w:t>
      </w:r>
      <w:r w:rsidR="00420544" w:rsidRPr="00420544">
        <w:t>el color de estos panes se podría</w:t>
      </w:r>
      <w:r w:rsidR="00D7638C" w:rsidRPr="00420544">
        <w:t xml:space="preserve"> asociar de manera positiva con los panes </w:t>
      </w:r>
      <w:r w:rsidR="00420544" w:rsidRPr="00420544">
        <w:t xml:space="preserve">convencionales con </w:t>
      </w:r>
      <w:r w:rsidR="00D7638C" w:rsidRPr="00420544">
        <w:t xml:space="preserve">salvado que se encuentran </w:t>
      </w:r>
      <w:r w:rsidR="00420544" w:rsidRPr="00420544">
        <w:t xml:space="preserve">disponibles </w:t>
      </w:r>
      <w:r w:rsidR="00D7638C" w:rsidRPr="00420544">
        <w:t>comercialmente.</w:t>
      </w:r>
      <w:r w:rsidR="00D7638C" w:rsidRPr="008858D1">
        <w:t xml:space="preserve"> </w:t>
      </w:r>
      <w:r w:rsidR="00D7638C" w:rsidRPr="0020719E">
        <w:t xml:space="preserve">Por </w:t>
      </w:r>
      <w:r w:rsidR="00D7638C">
        <w:t>último,</w:t>
      </w:r>
      <w:r w:rsidR="00D7638C" w:rsidRPr="0020719E">
        <w:t xml:space="preserve"> la</w:t>
      </w:r>
      <w:r w:rsidR="00D7638C">
        <w:t xml:space="preserve"> adición de </w:t>
      </w:r>
      <w:r w:rsidR="00600F55">
        <w:t xml:space="preserve">estas </w:t>
      </w:r>
      <w:r w:rsidR="00D7638C">
        <w:t xml:space="preserve">materias primas </w:t>
      </w:r>
      <w:r w:rsidR="00600F55">
        <w:t xml:space="preserve">alternativas </w:t>
      </w:r>
      <w:r w:rsidR="00D7638C">
        <w:t xml:space="preserve">con </w:t>
      </w:r>
      <w:r w:rsidR="00600F55">
        <w:t>elevado</w:t>
      </w:r>
      <w:r w:rsidR="00D7638C">
        <w:t xml:space="preserve"> co</w:t>
      </w:r>
      <w:r w:rsidR="00600F55">
        <w:t>ntenido de fibra</w:t>
      </w:r>
      <w:r w:rsidR="00D7638C">
        <w:t xml:space="preserve"> redujo los valores de los </w:t>
      </w:r>
      <w:r w:rsidR="00D7638C" w:rsidRPr="0020719E">
        <w:t>parámetros de empaste</w:t>
      </w:r>
      <w:r w:rsidR="00D7638C">
        <w:t xml:space="preserve"> estudiados. Cabe destacar que</w:t>
      </w:r>
      <w:r w:rsidR="00420544">
        <w:t>,</w:t>
      </w:r>
      <w:r w:rsidR="00D7638C">
        <w:t xml:space="preserve"> </w:t>
      </w:r>
      <w:r w:rsidR="00600F55">
        <w:rPr>
          <w:color w:val="000000" w:themeColor="text1"/>
          <w:shd w:val="clear" w:color="auto" w:fill="FFFFFF"/>
        </w:rPr>
        <w:t>una porción de 50</w:t>
      </w:r>
      <w:r w:rsidR="00D7638C">
        <w:rPr>
          <w:color w:val="000000" w:themeColor="text1"/>
          <w:shd w:val="clear" w:color="auto" w:fill="FFFFFF"/>
        </w:rPr>
        <w:t xml:space="preserve">g </w:t>
      </w:r>
      <w:r w:rsidR="00420544">
        <w:rPr>
          <w:color w:val="000000" w:themeColor="text1"/>
          <w:shd w:val="clear" w:color="auto" w:fill="FFFFFF"/>
        </w:rPr>
        <w:t xml:space="preserve">(~2 rodajas) </w:t>
      </w:r>
      <w:r w:rsidR="00D7638C">
        <w:rPr>
          <w:color w:val="000000" w:themeColor="text1"/>
          <w:shd w:val="clear" w:color="auto" w:fill="FFFFFF"/>
        </w:rPr>
        <w:t xml:space="preserve">de </w:t>
      </w:r>
      <w:r w:rsidR="00D7638C">
        <w:rPr>
          <w:color w:val="000000" w:themeColor="text1"/>
          <w:shd w:val="clear" w:color="auto" w:fill="FFFFFF"/>
        </w:rPr>
        <w:lastRenderedPageBreak/>
        <w:t xml:space="preserve">pan </w:t>
      </w:r>
      <w:r w:rsidR="00600F55">
        <w:rPr>
          <w:color w:val="000000" w:themeColor="text1"/>
          <w:shd w:val="clear" w:color="auto" w:fill="FFFFFF"/>
        </w:rPr>
        <w:t xml:space="preserve">LG </w:t>
      </w:r>
      <w:r w:rsidR="00D7638C" w:rsidRPr="003B0C19">
        <w:t xml:space="preserve">cubriría el </w:t>
      </w:r>
      <w:r w:rsidR="00D7638C">
        <w:t>14</w:t>
      </w:r>
      <w:r w:rsidR="00D7638C" w:rsidRPr="003B0C19">
        <w:t xml:space="preserve">% y </w:t>
      </w:r>
      <w:r w:rsidR="00D7638C">
        <w:t>12</w:t>
      </w:r>
      <w:r w:rsidR="00D7638C" w:rsidRPr="003B0C19">
        <w:t xml:space="preserve">% del valor diario recomendado </w:t>
      </w:r>
      <w:r w:rsidR="00D7638C">
        <w:t>de proteínas y fibra dietaria</w:t>
      </w:r>
      <w:r w:rsidR="00351FDB">
        <w:t>.</w:t>
      </w:r>
      <w:r w:rsidR="00351FDB">
        <w:rPr>
          <w:color w:val="000000" w:themeColor="text1"/>
          <w:shd w:val="clear" w:color="auto" w:fill="FFFFFF"/>
        </w:rPr>
        <w:t xml:space="preserve"> </w:t>
      </w:r>
      <w:r w:rsidR="00D7638C">
        <w:t>Estos</w:t>
      </w:r>
      <w:r w:rsidR="00351FDB">
        <w:t xml:space="preserve"> resultados son promisorios, ya que demuestran que se podrían </w:t>
      </w:r>
      <w:r w:rsidR="00351FDB" w:rsidRPr="00B855F2">
        <w:t xml:space="preserve">formular panificados LG </w:t>
      </w:r>
      <w:r w:rsidR="00420544">
        <w:t>con buenas características tecnológicas y</w:t>
      </w:r>
      <w:r w:rsidR="00351FDB">
        <w:t xml:space="preserve"> perfil nutricional</w:t>
      </w:r>
      <w:r w:rsidR="00351FDB" w:rsidRPr="00B855F2">
        <w:rPr>
          <w:color w:val="000000" w:themeColor="text1"/>
        </w:rPr>
        <w:t>.</w:t>
      </w:r>
      <w:r w:rsidR="00BB2700" w:rsidRPr="00BB2700">
        <w:t xml:space="preserve"> </w:t>
      </w:r>
    </w:p>
    <w:p w14:paraId="4FC1AAC2" w14:textId="77777777" w:rsidR="00A410E3" w:rsidRDefault="00A410E3" w:rsidP="00A410E3">
      <w:pPr>
        <w:spacing w:after="0" w:line="240" w:lineRule="auto"/>
        <w:ind w:leftChars="0" w:left="0" w:firstLineChars="0" w:firstLine="0"/>
        <w:rPr>
          <w:color w:val="000000"/>
        </w:rPr>
      </w:pPr>
    </w:p>
    <w:p w14:paraId="53C0A1A7" w14:textId="59F591AF" w:rsidR="005E3D30" w:rsidRPr="009E5D6D" w:rsidRDefault="005E3D30" w:rsidP="008858D1">
      <w:pPr>
        <w:spacing w:line="240" w:lineRule="auto"/>
        <w:ind w:leftChars="0" w:left="0" w:firstLineChars="0" w:firstLine="0"/>
        <w:rPr>
          <w:color w:val="000000" w:themeColor="text1"/>
        </w:rPr>
      </w:pPr>
      <w:r w:rsidRPr="009E5D6D">
        <w:rPr>
          <w:color w:val="000000" w:themeColor="text1"/>
        </w:rPr>
        <w:t>Palabras claves</w:t>
      </w:r>
      <w:r w:rsidR="0020719E">
        <w:rPr>
          <w:color w:val="000000" w:themeColor="text1"/>
        </w:rPr>
        <w:t>: propiedades de empaste, optimización, sin TACC.</w:t>
      </w:r>
      <w:r w:rsidR="008858D1">
        <w:rPr>
          <w:color w:val="000000" w:themeColor="text1"/>
        </w:rPr>
        <w:t xml:space="preserve">  </w:t>
      </w:r>
    </w:p>
    <w:p w14:paraId="200660F5" w14:textId="77777777" w:rsidR="00011AFC" w:rsidRDefault="00011AFC" w:rsidP="005E3D30">
      <w:pPr>
        <w:ind w:left="0" w:hanging="2"/>
      </w:pPr>
    </w:p>
    <w:p w14:paraId="2FC24FF3" w14:textId="77777777" w:rsidR="00662554" w:rsidRDefault="00662554" w:rsidP="005E3D30">
      <w:pPr>
        <w:ind w:left="0" w:hanging="2"/>
      </w:pPr>
    </w:p>
    <w:p w14:paraId="4C81F8EA" w14:textId="77777777" w:rsidR="009A5AB0" w:rsidRDefault="009A5AB0" w:rsidP="00662554">
      <w:pPr>
        <w:ind w:leftChars="0" w:left="0" w:firstLineChars="0" w:firstLine="0"/>
      </w:pPr>
    </w:p>
    <w:p w14:paraId="31370878" w14:textId="77777777" w:rsidR="009A5AB0" w:rsidRPr="005E3D30" w:rsidRDefault="009A5AB0" w:rsidP="00662554">
      <w:pPr>
        <w:ind w:leftChars="0" w:left="0" w:firstLineChars="0" w:firstLine="0"/>
      </w:pPr>
    </w:p>
    <w:sectPr w:rsidR="009A5AB0" w:rsidRPr="005E3D30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0AEBF" w16cex:dateUtc="2022-06-12T21:28:00Z"/>
  <w16cex:commentExtensible w16cex:durableId="2650ADC5" w16cex:dateUtc="2022-06-12T21:24:00Z"/>
  <w16cex:commentExtensible w16cex:durableId="2650AE42" w16cex:dateUtc="2022-06-12T2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AE9C43" w16cid:durableId="2650AEBF"/>
  <w16cid:commentId w16cid:paraId="5C9A18DE" w16cid:durableId="2650ADC5"/>
  <w16cid:commentId w16cid:paraId="633CA654" w16cid:durableId="2650AE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36108" w14:textId="77777777" w:rsidR="00120B7F" w:rsidRDefault="00120B7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CA6C3B" w14:textId="77777777" w:rsidR="00120B7F" w:rsidRDefault="00120B7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29828" w14:textId="77777777" w:rsidR="00120B7F" w:rsidRDefault="00120B7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3BCC99" w14:textId="77777777" w:rsidR="00120B7F" w:rsidRDefault="00120B7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F682" w14:textId="77777777" w:rsidR="00011AFC" w:rsidRDefault="00AA43D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80B66AA" wp14:editId="086E531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212"/>
    <w:multiLevelType w:val="multilevel"/>
    <w:tmpl w:val="DF2E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84CB6"/>
    <w:multiLevelType w:val="multilevel"/>
    <w:tmpl w:val="4832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44D4A"/>
    <w:multiLevelType w:val="multilevel"/>
    <w:tmpl w:val="9120F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FC"/>
    <w:rsid w:val="00011AFC"/>
    <w:rsid w:val="00014B84"/>
    <w:rsid w:val="00080096"/>
    <w:rsid w:val="00090C70"/>
    <w:rsid w:val="000957E7"/>
    <w:rsid w:val="0010072D"/>
    <w:rsid w:val="00114B60"/>
    <w:rsid w:val="00120B7F"/>
    <w:rsid w:val="00132082"/>
    <w:rsid w:val="00173E2E"/>
    <w:rsid w:val="001A76CD"/>
    <w:rsid w:val="001C63E4"/>
    <w:rsid w:val="001E4748"/>
    <w:rsid w:val="001F1EED"/>
    <w:rsid w:val="0020719E"/>
    <w:rsid w:val="00212397"/>
    <w:rsid w:val="00217026"/>
    <w:rsid w:val="002A454B"/>
    <w:rsid w:val="002B32AE"/>
    <w:rsid w:val="00315152"/>
    <w:rsid w:val="0034462A"/>
    <w:rsid w:val="00351FDB"/>
    <w:rsid w:val="00386396"/>
    <w:rsid w:val="00392E51"/>
    <w:rsid w:val="004041C9"/>
    <w:rsid w:val="00412C69"/>
    <w:rsid w:val="00420544"/>
    <w:rsid w:val="00442606"/>
    <w:rsid w:val="004661CB"/>
    <w:rsid w:val="00471D25"/>
    <w:rsid w:val="00484C4C"/>
    <w:rsid w:val="004A7FCB"/>
    <w:rsid w:val="004B2DC2"/>
    <w:rsid w:val="004C50A0"/>
    <w:rsid w:val="005131C3"/>
    <w:rsid w:val="00516573"/>
    <w:rsid w:val="00525EAD"/>
    <w:rsid w:val="0054543F"/>
    <w:rsid w:val="00564F20"/>
    <w:rsid w:val="005E3D30"/>
    <w:rsid w:val="005F1D3A"/>
    <w:rsid w:val="00600F55"/>
    <w:rsid w:val="00662554"/>
    <w:rsid w:val="0066458E"/>
    <w:rsid w:val="0068071E"/>
    <w:rsid w:val="006C5D66"/>
    <w:rsid w:val="007B6EB2"/>
    <w:rsid w:val="007D333C"/>
    <w:rsid w:val="007E3EEA"/>
    <w:rsid w:val="007F6398"/>
    <w:rsid w:val="008224C8"/>
    <w:rsid w:val="00876E51"/>
    <w:rsid w:val="008858D1"/>
    <w:rsid w:val="00904E48"/>
    <w:rsid w:val="00927C8F"/>
    <w:rsid w:val="00965A32"/>
    <w:rsid w:val="00977735"/>
    <w:rsid w:val="009835EF"/>
    <w:rsid w:val="009A5AB0"/>
    <w:rsid w:val="009A7791"/>
    <w:rsid w:val="009E5D6D"/>
    <w:rsid w:val="00A02CE6"/>
    <w:rsid w:val="00A410E3"/>
    <w:rsid w:val="00A730B2"/>
    <w:rsid w:val="00AA43D4"/>
    <w:rsid w:val="00AD2705"/>
    <w:rsid w:val="00AD29B1"/>
    <w:rsid w:val="00B168C9"/>
    <w:rsid w:val="00B23E04"/>
    <w:rsid w:val="00B53732"/>
    <w:rsid w:val="00B8020C"/>
    <w:rsid w:val="00B855F2"/>
    <w:rsid w:val="00BB2700"/>
    <w:rsid w:val="00BE787F"/>
    <w:rsid w:val="00BF78C6"/>
    <w:rsid w:val="00BF7C70"/>
    <w:rsid w:val="00C82506"/>
    <w:rsid w:val="00CE192E"/>
    <w:rsid w:val="00CF71C5"/>
    <w:rsid w:val="00D06CB5"/>
    <w:rsid w:val="00D178CA"/>
    <w:rsid w:val="00D250D2"/>
    <w:rsid w:val="00D7638C"/>
    <w:rsid w:val="00DA2C0A"/>
    <w:rsid w:val="00E01F3F"/>
    <w:rsid w:val="00EC1CA2"/>
    <w:rsid w:val="00F1123E"/>
    <w:rsid w:val="00F30780"/>
    <w:rsid w:val="00F40A5F"/>
    <w:rsid w:val="00F82199"/>
    <w:rsid w:val="00F857E7"/>
    <w:rsid w:val="00FA4A60"/>
    <w:rsid w:val="00FA6BD6"/>
    <w:rsid w:val="00FB239C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E437"/>
  <w15:docId w15:val="{B6A46F8D-3507-42C0-93A8-AC14A1D0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537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732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732"/>
    <w:rPr>
      <w:rFonts w:asciiTheme="minorHAnsi" w:eastAsiaTheme="minorHAnsi" w:hAnsiTheme="minorHAnsi" w:cstheme="minorBidi"/>
      <w:sz w:val="20"/>
      <w:szCs w:val="20"/>
    </w:rPr>
  </w:style>
  <w:style w:type="paragraph" w:styleId="Prrafodelista">
    <w:name w:val="List Paragraph"/>
    <w:basedOn w:val="Normal"/>
    <w:uiPriority w:val="34"/>
    <w:qFormat/>
    <w:rsid w:val="00B53732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373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396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396"/>
    <w:rPr>
      <w:rFonts w:asciiTheme="minorHAnsi" w:eastAsiaTheme="minorHAnsi" w:hAnsiTheme="minorHAnsi" w:cstheme="minorBidi"/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ren.irigoytia@uner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B68A6B-EEE3-4350-9845-A7BB3FF9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11</cp:revision>
  <dcterms:created xsi:type="dcterms:W3CDTF">2022-06-12T21:29:00Z</dcterms:created>
  <dcterms:modified xsi:type="dcterms:W3CDTF">2022-06-14T22:36:00Z</dcterms:modified>
</cp:coreProperties>
</file>