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8C88" w14:textId="77777777" w:rsidR="00B31A00" w:rsidRPr="00F53BF1" w:rsidRDefault="00B31A00" w:rsidP="00B31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b/>
          <w:color w:val="212121"/>
          <w:lang w:eastAsia="es-AR"/>
        </w:rPr>
      </w:pPr>
      <w:r w:rsidRPr="00F53BF1">
        <w:rPr>
          <w:b/>
          <w:color w:val="212121"/>
          <w:lang w:eastAsia="es-AR"/>
        </w:rPr>
        <w:t xml:space="preserve">Compuestos fenólicos del extracto de tépalos comestibles de </w:t>
      </w:r>
      <w:r>
        <w:rPr>
          <w:b/>
          <w:color w:val="212121"/>
          <w:lang w:eastAsia="es-AR"/>
        </w:rPr>
        <w:t>l</w:t>
      </w:r>
      <w:r w:rsidRPr="00F53BF1">
        <w:rPr>
          <w:b/>
          <w:color w:val="212121"/>
          <w:lang w:eastAsia="es-AR"/>
        </w:rPr>
        <w:t>ilium asiático (</w:t>
      </w:r>
      <w:r w:rsidRPr="00243667">
        <w:rPr>
          <w:b/>
          <w:i/>
          <w:iCs/>
          <w:color w:val="212121"/>
          <w:lang w:eastAsia="es-AR"/>
        </w:rPr>
        <w:t>Lilium longiflorum</w:t>
      </w:r>
      <w:r w:rsidRPr="00F53BF1">
        <w:rPr>
          <w:b/>
          <w:color w:val="212121"/>
          <w:lang w:eastAsia="es-AR"/>
        </w:rPr>
        <w:t xml:space="preserve"> cv. Forza red) y sus efectos antioxidantes.</w:t>
      </w:r>
    </w:p>
    <w:p w14:paraId="2C907272" w14:textId="77777777" w:rsidR="00744840" w:rsidRDefault="00744840">
      <w:pPr>
        <w:spacing w:after="0" w:line="240" w:lineRule="auto"/>
        <w:ind w:left="0" w:hanging="2"/>
        <w:jc w:val="center"/>
      </w:pPr>
    </w:p>
    <w:p w14:paraId="3FB634CA" w14:textId="77777777" w:rsidR="00B31A00" w:rsidRPr="00B31A00" w:rsidRDefault="00B31A00" w:rsidP="00B31A00">
      <w:pPr>
        <w:pStyle w:val="Sinespaciado"/>
        <w:ind w:left="5" w:hanging="7"/>
        <w:jc w:val="center"/>
        <w:rPr>
          <w:rFonts w:ascii="Arial" w:hAnsi="Arial" w:cs="Arial"/>
          <w:b/>
          <w:sz w:val="24"/>
          <w:szCs w:val="24"/>
          <w:lang w:eastAsia="es-AR"/>
        </w:rPr>
      </w:pPr>
      <w:r w:rsidRPr="00B31A00">
        <w:rPr>
          <w:rFonts w:ascii="Arial" w:hAnsi="Arial" w:cs="Arial"/>
          <w:b/>
          <w:sz w:val="24"/>
          <w:szCs w:val="24"/>
          <w:u w:val="single"/>
          <w:lang w:eastAsia="es-AR"/>
        </w:rPr>
        <w:t>Mantilla G.</w:t>
      </w:r>
      <w:r w:rsidRPr="00B31A00">
        <w:rPr>
          <w:rFonts w:ascii="Arial" w:hAnsi="Arial" w:cs="Arial"/>
          <w:b/>
          <w:sz w:val="24"/>
          <w:szCs w:val="24"/>
          <w:u w:val="single"/>
          <w:vertAlign w:val="superscript"/>
          <w:lang w:eastAsia="es-AR"/>
        </w:rPr>
        <w:t>1</w:t>
      </w:r>
      <w:r w:rsidRPr="00B31A00">
        <w:rPr>
          <w:rFonts w:ascii="Arial" w:hAnsi="Arial" w:cs="Arial"/>
          <w:b/>
          <w:sz w:val="24"/>
          <w:szCs w:val="24"/>
          <w:lang w:eastAsia="es-AR"/>
        </w:rPr>
        <w:t>; Chludil</w:t>
      </w:r>
      <w:r w:rsidRPr="00B31A00">
        <w:rPr>
          <w:rFonts w:ascii="Arial" w:hAnsi="Arial" w:cs="Arial"/>
          <w:b/>
          <w:sz w:val="24"/>
          <w:szCs w:val="24"/>
          <w:vertAlign w:val="superscript"/>
          <w:lang w:eastAsia="es-AR"/>
        </w:rPr>
        <w:t xml:space="preserve"> </w:t>
      </w:r>
      <w:r w:rsidRPr="00B31A00">
        <w:rPr>
          <w:rFonts w:ascii="Arial" w:hAnsi="Arial" w:cs="Arial"/>
          <w:b/>
          <w:sz w:val="24"/>
          <w:szCs w:val="24"/>
          <w:lang w:eastAsia="es-AR"/>
        </w:rPr>
        <w:t>H.</w:t>
      </w:r>
      <w:r w:rsidRPr="00B31A00">
        <w:rPr>
          <w:rFonts w:ascii="Arial" w:hAnsi="Arial" w:cs="Arial"/>
          <w:b/>
          <w:sz w:val="24"/>
          <w:szCs w:val="24"/>
          <w:vertAlign w:val="superscript"/>
          <w:lang w:eastAsia="es-AR"/>
        </w:rPr>
        <w:t>1</w:t>
      </w:r>
      <w:r w:rsidRPr="00B31A00">
        <w:rPr>
          <w:rFonts w:ascii="Arial" w:hAnsi="Arial" w:cs="Arial"/>
          <w:b/>
          <w:sz w:val="24"/>
          <w:szCs w:val="24"/>
          <w:lang w:eastAsia="es-AR"/>
        </w:rPr>
        <w:t>; Martínez G.</w:t>
      </w:r>
      <w:r w:rsidRPr="00B31A00">
        <w:rPr>
          <w:rFonts w:ascii="Arial" w:hAnsi="Arial" w:cs="Arial"/>
          <w:b/>
          <w:sz w:val="24"/>
          <w:szCs w:val="24"/>
          <w:vertAlign w:val="superscript"/>
          <w:lang w:eastAsia="es-AR"/>
        </w:rPr>
        <w:t>2</w:t>
      </w:r>
    </w:p>
    <w:p w14:paraId="12A86AF5" w14:textId="77777777" w:rsidR="00744840" w:rsidRDefault="00744840">
      <w:pPr>
        <w:spacing w:after="0" w:line="240" w:lineRule="auto"/>
        <w:ind w:left="0" w:hanging="2"/>
        <w:jc w:val="center"/>
      </w:pPr>
    </w:p>
    <w:p w14:paraId="61CE0CA5" w14:textId="2FD49905" w:rsidR="00B31A00" w:rsidRPr="00B31A00" w:rsidRDefault="00944806" w:rsidP="00B31A00">
      <w:pPr>
        <w:pStyle w:val="Sinespaciado"/>
        <w:ind w:left="5" w:hanging="7"/>
        <w:rPr>
          <w:rFonts w:ascii="Arial" w:eastAsia="Arial" w:hAnsi="Arial" w:cs="Arial"/>
          <w:position w:val="-1"/>
          <w:sz w:val="24"/>
          <w:szCs w:val="24"/>
        </w:rPr>
      </w:pPr>
      <w:r w:rsidRPr="00B31A00">
        <w:rPr>
          <w:rFonts w:ascii="Arial" w:eastAsia="Arial" w:hAnsi="Arial" w:cs="Arial"/>
          <w:position w:val="-1"/>
          <w:sz w:val="24"/>
          <w:szCs w:val="24"/>
        </w:rPr>
        <w:t xml:space="preserve">(1) </w:t>
      </w:r>
      <w:r w:rsidR="00B31A00" w:rsidRPr="00B31A00">
        <w:rPr>
          <w:rFonts w:ascii="Arial" w:eastAsia="Arial" w:hAnsi="Arial" w:cs="Arial"/>
          <w:position w:val="-1"/>
          <w:sz w:val="24"/>
          <w:szCs w:val="24"/>
        </w:rPr>
        <w:t>Facultad de Agronomía. San Martín 4453 C1417DSE</w:t>
      </w:r>
      <w:r w:rsidR="00B31A00">
        <w:rPr>
          <w:rFonts w:ascii="Arial" w:eastAsia="Arial" w:hAnsi="Arial" w:cs="Arial"/>
          <w:position w:val="-1"/>
          <w:sz w:val="24"/>
          <w:szCs w:val="24"/>
        </w:rPr>
        <w:t>,</w:t>
      </w:r>
      <w:r w:rsidR="00B31A00" w:rsidRPr="00B31A00">
        <w:rPr>
          <w:rFonts w:ascii="Arial" w:eastAsia="Arial" w:hAnsi="Arial" w:cs="Arial"/>
          <w:position w:val="-1"/>
          <w:sz w:val="24"/>
          <w:szCs w:val="24"/>
        </w:rPr>
        <w:t xml:space="preserve"> CABA, Argentina</w:t>
      </w:r>
      <w:r w:rsidR="00B31A00">
        <w:rPr>
          <w:rFonts w:ascii="Arial" w:eastAsia="Arial" w:hAnsi="Arial" w:cs="Arial"/>
          <w:position w:val="-1"/>
          <w:sz w:val="24"/>
          <w:szCs w:val="24"/>
        </w:rPr>
        <w:t>.</w:t>
      </w:r>
    </w:p>
    <w:p w14:paraId="621BF099" w14:textId="38C7FA1F" w:rsidR="00744840" w:rsidRPr="00B31A00" w:rsidRDefault="00744840" w:rsidP="00B31A00">
      <w:pPr>
        <w:spacing w:after="120" w:line="240" w:lineRule="auto"/>
        <w:ind w:leftChars="0" w:left="0" w:firstLineChars="0" w:firstLine="0"/>
        <w:jc w:val="left"/>
      </w:pPr>
    </w:p>
    <w:p w14:paraId="033DC870" w14:textId="61A36D89" w:rsidR="00744840" w:rsidRPr="00B31A00" w:rsidRDefault="00944806" w:rsidP="00B31A00">
      <w:pPr>
        <w:spacing w:line="240" w:lineRule="auto"/>
        <w:ind w:left="0" w:hanging="2"/>
        <w:jc w:val="left"/>
        <w:rPr>
          <w:color w:val="000000"/>
        </w:rPr>
      </w:pPr>
      <w:r w:rsidRPr="00B31A00">
        <w:t xml:space="preserve">(2) </w:t>
      </w:r>
      <w:r w:rsidR="00B31A00" w:rsidRPr="00B31A00">
        <w:rPr>
          <w:lang w:eastAsia="es-AR"/>
        </w:rPr>
        <w:t>Instituto de Fisiología Vegetal (INFIVE) UNLP-CONICET, 113 and 61, La Plata</w:t>
      </w:r>
      <w:r w:rsidR="00B31A00">
        <w:rPr>
          <w:lang w:eastAsia="es-AR"/>
        </w:rPr>
        <w:t xml:space="preserve"> </w:t>
      </w:r>
      <w:r w:rsidR="00B31A00" w:rsidRPr="00B31A00">
        <w:rPr>
          <w:lang w:eastAsia="es-AR"/>
        </w:rPr>
        <w:t>1900, Argentina</w:t>
      </w:r>
      <w:r w:rsidR="00B31A00" w:rsidRPr="00B31A00">
        <w:rPr>
          <w:color w:val="000000"/>
        </w:rPr>
        <w:t xml:space="preserve"> </w:t>
      </w:r>
    </w:p>
    <w:p w14:paraId="743F2D27" w14:textId="77D0C0EE" w:rsidR="00744840" w:rsidRDefault="00B31A00">
      <w:pPr>
        <w:spacing w:after="0" w:line="240" w:lineRule="auto"/>
        <w:ind w:left="0" w:hanging="2"/>
        <w:rPr>
          <w:rStyle w:val="Hipervnculo"/>
        </w:rPr>
      </w:pPr>
      <w:r w:rsidRPr="00B31A00">
        <w:t xml:space="preserve">Correo-e: </w:t>
      </w:r>
      <w:hyperlink r:id="rId7" w:history="1">
        <w:r w:rsidRPr="00B31A00">
          <w:rPr>
            <w:rStyle w:val="Hipervnculo"/>
          </w:rPr>
          <w:t>alfman@agro.uba.ar</w:t>
        </w:r>
      </w:hyperlink>
    </w:p>
    <w:p w14:paraId="2E98CC8E" w14:textId="77777777" w:rsidR="00B31A00" w:rsidRDefault="00B31A00" w:rsidP="00B31A00">
      <w:pPr>
        <w:spacing w:after="0" w:line="240" w:lineRule="auto"/>
        <w:ind w:leftChars="0" w:left="0" w:firstLineChars="0" w:firstLine="0"/>
      </w:pPr>
    </w:p>
    <w:p w14:paraId="36B4216A" w14:textId="55ADFF8E" w:rsidR="00744840" w:rsidRDefault="00944806">
      <w:pPr>
        <w:spacing w:after="0" w:line="240" w:lineRule="auto"/>
        <w:ind w:left="0" w:hanging="2"/>
      </w:pPr>
      <w:r>
        <w:t>RESUMEN</w:t>
      </w:r>
    </w:p>
    <w:p w14:paraId="0F31BBD0" w14:textId="77777777" w:rsidR="00B31A00" w:rsidRDefault="00B31A00">
      <w:pPr>
        <w:spacing w:after="0" w:line="240" w:lineRule="auto"/>
        <w:ind w:left="0" w:hanging="2"/>
      </w:pPr>
    </w:p>
    <w:p w14:paraId="610F76C8" w14:textId="77777777" w:rsidR="00B31A00" w:rsidRPr="008E7492" w:rsidRDefault="00B31A00" w:rsidP="00B31A00">
      <w:pPr>
        <w:pStyle w:val="Sinespaciado"/>
        <w:ind w:hanging="2"/>
        <w:jc w:val="both"/>
        <w:rPr>
          <w:rFonts w:ascii="Arial" w:hAnsi="Arial" w:cs="Arial"/>
          <w:sz w:val="24"/>
          <w:szCs w:val="24"/>
        </w:rPr>
      </w:pPr>
      <w:r w:rsidRPr="008E7492">
        <w:rPr>
          <w:rFonts w:ascii="Arial" w:hAnsi="Arial" w:cs="Arial"/>
          <w:sz w:val="24"/>
          <w:szCs w:val="24"/>
        </w:rPr>
        <w:t>En los últimos años se ha evidenciado un mayor interés de los consumidores hacia alimentos que además del valor nutritivo aporten beneficios y contribuyan a la reducción de enfermedades. La demanda por este tipo de alimentos funcionales genera un punto de interés y cambios en los patrones de alimentación de los consumidores. Los lirios han sido considerados tradicionalmente como plantas ornamentales. Sin embargo, la posibilidad de utilizar sus tépalos para el consumo humano se está expandiendo, justamente por la necesidad de buscar nuevas fuentes alimenticias, pero los estudios relacionados con sus características nutricionales son escasos. Las plantas, al ser sometidas a diferentes tipos de estrés sintetizan metabolitos secundarios que pueden ser beneficiosos para la salud humana. El objetivo de este trabajo fue estudiar la biosíntesis de antioxidantes fenólicos bajo estrés térmico (ET) (50 °C, 5 min), sobre el contenido relativo de fenoles totales (CFT), flavonoides totales (</w:t>
      </w:r>
      <w:proofErr w:type="spellStart"/>
      <w:r w:rsidRPr="008E7492">
        <w:rPr>
          <w:rFonts w:ascii="Arial" w:hAnsi="Arial" w:cs="Arial"/>
          <w:sz w:val="24"/>
          <w:szCs w:val="24"/>
        </w:rPr>
        <w:t>FlaT</w:t>
      </w:r>
      <w:proofErr w:type="spellEnd"/>
      <w:r w:rsidRPr="008E7492">
        <w:rPr>
          <w:rFonts w:ascii="Arial" w:hAnsi="Arial" w:cs="Arial"/>
          <w:sz w:val="24"/>
          <w:szCs w:val="24"/>
        </w:rPr>
        <w:t>) y la capacidad antioxidante (AOX) en tépalos de</w:t>
      </w:r>
      <w:r w:rsidRPr="008E7492">
        <w:rPr>
          <w:rFonts w:ascii="Arial" w:hAnsi="Arial" w:cs="Arial"/>
          <w:i/>
          <w:sz w:val="24"/>
          <w:szCs w:val="24"/>
        </w:rPr>
        <w:t xml:space="preserve"> Lilium sp.</w:t>
      </w:r>
      <w:r w:rsidRPr="008E7492">
        <w:rPr>
          <w:rFonts w:ascii="Arial" w:hAnsi="Arial" w:cs="Arial"/>
          <w:sz w:val="24"/>
          <w:szCs w:val="24"/>
        </w:rPr>
        <w:t xml:space="preserve"> cv. Forza red. Las varas </w:t>
      </w:r>
      <w:r w:rsidRPr="008E7492">
        <w:rPr>
          <w:rFonts w:ascii="Arial" w:hAnsi="Arial" w:cs="Arial"/>
          <w:sz w:val="24"/>
          <w:szCs w:val="24"/>
          <w:lang w:val="es-ES"/>
        </w:rPr>
        <w:t xml:space="preserve">fueron cosechadas </w:t>
      </w:r>
      <w:r w:rsidRPr="008E7492">
        <w:rPr>
          <w:rFonts w:ascii="Arial" w:hAnsi="Arial" w:cs="Arial"/>
          <w:sz w:val="24"/>
          <w:szCs w:val="24"/>
        </w:rPr>
        <w:t xml:space="preserve">y colocadas en una ambiente con condiciones controladas de luz artificial y temperatura (12 </w:t>
      </w:r>
      <w:proofErr w:type="gramStart"/>
      <w:r w:rsidRPr="008E7492">
        <w:rPr>
          <w:rFonts w:ascii="Arial" w:hAnsi="Arial" w:cs="Arial"/>
          <w:sz w:val="24"/>
          <w:szCs w:val="24"/>
        </w:rPr>
        <w:t>hs.d</w:t>
      </w:r>
      <w:proofErr w:type="gramEnd"/>
      <w:r w:rsidRPr="008E7492">
        <w:rPr>
          <w:rFonts w:ascii="Arial" w:hAnsi="Arial" w:cs="Arial"/>
          <w:sz w:val="24"/>
          <w:szCs w:val="24"/>
          <w:vertAlign w:val="superscript"/>
        </w:rPr>
        <w:t>-1</w:t>
      </w:r>
      <w:r w:rsidRPr="008E7492">
        <w:rPr>
          <w:rFonts w:ascii="Arial" w:hAnsi="Arial" w:cs="Arial"/>
          <w:sz w:val="24"/>
          <w:szCs w:val="24"/>
        </w:rPr>
        <w:t xml:space="preserve">, 16 </w:t>
      </w:r>
      <w:proofErr w:type="spellStart"/>
      <w:r w:rsidRPr="008E7492">
        <w:rPr>
          <w:rFonts w:ascii="Arial" w:hAnsi="Arial" w:cs="Arial"/>
          <w:sz w:val="24"/>
          <w:szCs w:val="24"/>
        </w:rPr>
        <w:t>ºC</w:t>
      </w:r>
      <w:proofErr w:type="spellEnd"/>
      <w:r w:rsidRPr="008E7492">
        <w:rPr>
          <w:rFonts w:ascii="Arial" w:hAnsi="Arial" w:cs="Arial"/>
          <w:sz w:val="24"/>
          <w:szCs w:val="24"/>
        </w:rPr>
        <w:t>) en agua destilada, en un</w:t>
      </w:r>
      <w:r w:rsidRPr="008E7492">
        <w:rPr>
          <w:rFonts w:ascii="Arial" w:hAnsi="Arial" w:cs="Arial"/>
          <w:color w:val="000000"/>
          <w:sz w:val="24"/>
          <w:szCs w:val="24"/>
        </w:rPr>
        <w:t xml:space="preserve"> diseño experimental completamente aleatorizado.</w:t>
      </w:r>
      <w:r w:rsidRPr="008E7492">
        <w:rPr>
          <w:rFonts w:ascii="Arial" w:hAnsi="Arial" w:cs="Arial"/>
          <w:sz w:val="24"/>
          <w:szCs w:val="24"/>
        </w:rPr>
        <w:t xml:space="preserve"> De cada muestra (tépalos) se separaron 0,5 g (material fresco) y se extrajeron con metanol (3 mL). En cada extracto se evaluó espectrofotométricamente el CFT mediante el Método de </w:t>
      </w:r>
      <w:proofErr w:type="spellStart"/>
      <w:r w:rsidRPr="008E7492">
        <w:rPr>
          <w:rFonts w:ascii="Arial" w:hAnsi="Arial" w:cs="Arial"/>
          <w:sz w:val="24"/>
          <w:szCs w:val="24"/>
        </w:rPr>
        <w:t>Folin-Cioclateu</w:t>
      </w:r>
      <w:proofErr w:type="spellEnd"/>
      <w:r w:rsidRPr="008E7492">
        <w:rPr>
          <w:rFonts w:ascii="Arial" w:hAnsi="Arial" w:cs="Arial"/>
          <w:sz w:val="24"/>
          <w:szCs w:val="24"/>
        </w:rPr>
        <w:t xml:space="preserve"> (</w:t>
      </w:r>
      <w:r w:rsidRPr="008E7492">
        <w:rPr>
          <w:rFonts w:ascii="Arial" w:hAnsi="Arial" w:cs="Arial"/>
          <w:sz w:val="24"/>
          <w:szCs w:val="24"/>
        </w:rPr>
        <w:sym w:font="Symbol" w:char="F06C"/>
      </w:r>
      <w:r w:rsidRPr="008E7492">
        <w:rPr>
          <w:rFonts w:ascii="Arial" w:hAnsi="Arial" w:cs="Arial"/>
          <w:sz w:val="24"/>
          <w:szCs w:val="24"/>
        </w:rPr>
        <w:t xml:space="preserve"> 765 nm), Fla T Método del Cloruro de Aluminio (</w:t>
      </w:r>
      <w:r w:rsidRPr="008E7492">
        <w:rPr>
          <w:rFonts w:ascii="Arial" w:hAnsi="Arial" w:cs="Arial"/>
          <w:sz w:val="24"/>
          <w:szCs w:val="24"/>
        </w:rPr>
        <w:sym w:font="Symbol" w:char="F06C"/>
      </w:r>
      <w:r w:rsidRPr="008E7492">
        <w:rPr>
          <w:rFonts w:ascii="Arial" w:hAnsi="Arial" w:cs="Arial"/>
          <w:sz w:val="24"/>
          <w:szCs w:val="24"/>
        </w:rPr>
        <w:t xml:space="preserve"> 415 nm) y la actividad antioxidante por el Método del DPPH (</w:t>
      </w:r>
      <w:r w:rsidRPr="008E7492">
        <w:rPr>
          <w:rFonts w:ascii="Arial" w:hAnsi="Arial" w:cs="Arial"/>
          <w:sz w:val="24"/>
          <w:szCs w:val="24"/>
        </w:rPr>
        <w:sym w:font="Symbol" w:char="F06C"/>
      </w:r>
      <w:r w:rsidRPr="008E7492">
        <w:rPr>
          <w:rFonts w:ascii="Arial" w:hAnsi="Arial" w:cs="Arial"/>
          <w:sz w:val="24"/>
          <w:szCs w:val="24"/>
        </w:rPr>
        <w:t xml:space="preserve"> 517 nm). El choque térmico a la vara indujo un aumento de ~2 y ~12 veces en los CFT y AOX, respectivamente, después de 9 días en comparación con el testigo. Los CFT y AOX en las muestras con tratamiento térmico fue mayor respecto de los controles. Los cambios en el contenido de derivados fenólicos se correlacionaron con los de capacidad antioxidante. Los resultados muestran los contenidos de compuestos bioactivos y su potencial beneficio para la salud, donde los tépalos de lilium podrían ser una fuente interesante de antioxidantes.</w:t>
      </w:r>
    </w:p>
    <w:p w14:paraId="294CCEFE" w14:textId="77777777" w:rsidR="00B31A00" w:rsidRPr="008E7492" w:rsidRDefault="00B31A00" w:rsidP="00B31A00">
      <w:pPr>
        <w:ind w:left="0" w:hanging="2"/>
      </w:pPr>
    </w:p>
    <w:p w14:paraId="02ADB52D" w14:textId="77777777" w:rsidR="00B31A00" w:rsidRPr="008E7492" w:rsidRDefault="00B31A00" w:rsidP="00B31A00">
      <w:pPr>
        <w:ind w:left="0" w:hanging="2"/>
      </w:pPr>
      <w:r w:rsidRPr="008E7492">
        <w:t>Palabras clave: Alimentos funcionales, capacidad antioxidante, flores comestibles, estrés abiótico</w:t>
      </w:r>
    </w:p>
    <w:p w14:paraId="78A8A8CE" w14:textId="77777777" w:rsidR="00744840" w:rsidRDefault="00744840" w:rsidP="00B31A00">
      <w:pPr>
        <w:spacing w:after="0" w:line="240" w:lineRule="auto"/>
        <w:ind w:leftChars="0" w:left="0" w:firstLineChars="0" w:firstLine="0"/>
      </w:pPr>
    </w:p>
    <w:p w14:paraId="7960E59D" w14:textId="77777777" w:rsidR="00744840" w:rsidRDefault="00744840">
      <w:pPr>
        <w:spacing w:after="0" w:line="240" w:lineRule="auto"/>
        <w:ind w:left="0" w:hanging="2"/>
      </w:pPr>
    </w:p>
    <w:sectPr w:rsidR="00744840">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B19B" w14:textId="77777777" w:rsidR="00944806" w:rsidRDefault="00944806">
      <w:pPr>
        <w:spacing w:after="0" w:line="240" w:lineRule="auto"/>
        <w:ind w:left="0" w:hanging="2"/>
      </w:pPr>
      <w:r>
        <w:separator/>
      </w:r>
    </w:p>
  </w:endnote>
  <w:endnote w:type="continuationSeparator" w:id="0">
    <w:p w14:paraId="2AAD93E1" w14:textId="77777777" w:rsidR="00944806" w:rsidRDefault="0094480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8ECC" w14:textId="77777777" w:rsidR="00944806" w:rsidRDefault="00944806">
      <w:pPr>
        <w:spacing w:after="0" w:line="240" w:lineRule="auto"/>
        <w:ind w:left="0" w:hanging="2"/>
      </w:pPr>
      <w:r>
        <w:separator/>
      </w:r>
    </w:p>
  </w:footnote>
  <w:footnote w:type="continuationSeparator" w:id="0">
    <w:p w14:paraId="1114F63D" w14:textId="77777777" w:rsidR="00944806" w:rsidRDefault="0094480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9474" w14:textId="77777777" w:rsidR="00744840" w:rsidRDefault="0094480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4F5F844D" wp14:editId="1E636394">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40"/>
    <w:rsid w:val="0053644F"/>
    <w:rsid w:val="00744840"/>
    <w:rsid w:val="00944806"/>
    <w:rsid w:val="009E6093"/>
    <w:rsid w:val="00B31A0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0005"/>
  <w15:docId w15:val="{E8AD9237-AE31-4CAF-A8E9-1D3C5277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C"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lang/>
    </w:rPr>
  </w:style>
  <w:style w:type="paragraph" w:styleId="Ttulo2">
    <w:name w:val="heading 2"/>
    <w:basedOn w:val="Normal"/>
    <w:next w:val="Normal"/>
    <w:uiPriority w:val="9"/>
    <w:semiHidden/>
    <w:unhideWhenUsed/>
    <w:qFormat/>
    <w:pPr>
      <w:jc w:val="center"/>
      <w:outlineLvl w:val="1"/>
    </w:pPr>
    <w:rPr>
      <w:rFonts w:cs="Times New Roman"/>
      <w:lang/>
    </w:rPr>
  </w:style>
  <w:style w:type="paragraph" w:styleId="Ttulo3">
    <w:name w:val="heading 3"/>
    <w:basedOn w:val="Normal"/>
    <w:next w:val="Normal"/>
    <w:uiPriority w:val="9"/>
    <w:semiHidden/>
    <w:unhideWhenUsed/>
    <w:qFormat/>
    <w:pPr>
      <w:jc w:val="center"/>
      <w:outlineLvl w:val="2"/>
    </w:pPr>
    <w:rPr>
      <w:rFonts w:cs="Times New Roman"/>
      <w:lang/>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lang/>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lang/>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lang/>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uiPriority w:val="99"/>
    <w:qFormat/>
    <w:rsid w:val="00B31A00"/>
    <w:pPr>
      <w:spacing w:after="0" w:line="240" w:lineRule="auto"/>
      <w:jc w:val="left"/>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fman@agro.uba.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409</Words>
  <Characters>2252</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Gunther Mantilla</cp:lastModifiedBy>
  <cp:revision>2</cp:revision>
  <dcterms:created xsi:type="dcterms:W3CDTF">2022-06-15T03:13:00Z</dcterms:created>
  <dcterms:modified xsi:type="dcterms:W3CDTF">2022-06-15T03:13:00Z</dcterms:modified>
</cp:coreProperties>
</file>