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5DA5" w14:textId="0B099817" w:rsidR="00BC2E91" w:rsidRPr="00BC2E91" w:rsidRDefault="00E824DC" w:rsidP="00BC2E91">
      <w:pPr>
        <w:ind w:left="0" w:hanging="2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 w:rsidR="00BC2E91" w:rsidRPr="00BC2E91">
        <w:rPr>
          <w:b/>
          <w:bCs/>
          <w:shd w:val="clear" w:color="auto" w:fill="FFFFFF"/>
        </w:rPr>
        <w:t xml:space="preserve">Aplicación de UV-C en uva de mesa para el manejo integrado de </w:t>
      </w:r>
      <w:r w:rsidR="00BC2E91" w:rsidRPr="008D743E">
        <w:rPr>
          <w:b/>
          <w:bCs/>
          <w:i/>
          <w:shd w:val="clear" w:color="auto" w:fill="FFFFFF"/>
        </w:rPr>
        <w:t>Alternaria alternata</w:t>
      </w:r>
      <w:r w:rsidR="00BC2E91" w:rsidRPr="00BC2E91">
        <w:rPr>
          <w:b/>
          <w:bCs/>
          <w:shd w:val="clear" w:color="auto" w:fill="FFFFFF"/>
        </w:rPr>
        <w:t xml:space="preserve"> durante el almacenamiento en poscosecha</w:t>
      </w:r>
    </w:p>
    <w:p w14:paraId="327F8959" w14:textId="77777777" w:rsidR="00E86A86" w:rsidRDefault="00E86A86">
      <w:pPr>
        <w:spacing w:after="0" w:line="240" w:lineRule="auto"/>
        <w:ind w:left="0" w:hanging="2"/>
        <w:jc w:val="center"/>
      </w:pPr>
    </w:p>
    <w:p w14:paraId="61C4F4F2" w14:textId="144C5611" w:rsidR="00E86A86" w:rsidRDefault="00BC2E91">
      <w:pPr>
        <w:spacing w:after="0" w:line="240" w:lineRule="auto"/>
        <w:ind w:left="0" w:hanging="2"/>
        <w:jc w:val="center"/>
      </w:pPr>
      <w:bookmarkStart w:id="0" w:name="_Hlk106190379"/>
      <w:r>
        <w:t>Torres Palazzolo C</w:t>
      </w:r>
      <w:r w:rsidR="000C711D">
        <w:t xml:space="preserve"> (1</w:t>
      </w:r>
      <w:r>
        <w:t>, 2, 3</w:t>
      </w:r>
      <w:r w:rsidR="000C711D">
        <w:t xml:space="preserve">), </w:t>
      </w:r>
      <w:r>
        <w:t>Martin V</w:t>
      </w:r>
      <w:r w:rsidR="000C711D">
        <w:t xml:space="preserve"> (2)</w:t>
      </w:r>
      <w:r>
        <w:t xml:space="preserve">, Ramírez D (1, 2), Mirábile M (2), </w:t>
      </w:r>
      <w:r w:rsidR="00603078">
        <w:t>Ponsone L</w:t>
      </w:r>
      <w:r w:rsidR="00603078" w:rsidRPr="006E34EB">
        <w:t xml:space="preserve"> (</w:t>
      </w:r>
      <w:r w:rsidR="00603078">
        <w:t>1, 3, 4</w:t>
      </w:r>
      <w:r w:rsidR="00603078" w:rsidRPr="006E34EB">
        <w:t>)</w:t>
      </w:r>
      <w:r w:rsidR="00603078">
        <w:t>, Giménez A (2</w:t>
      </w:r>
      <w:bookmarkEnd w:id="0"/>
      <w:r w:rsidR="00603078">
        <w:t>)</w:t>
      </w:r>
    </w:p>
    <w:p w14:paraId="5BF5CB0B" w14:textId="77777777" w:rsidR="00E86A86" w:rsidRDefault="00E86A86" w:rsidP="00B66F94">
      <w:pPr>
        <w:spacing w:after="0" w:line="240" w:lineRule="auto"/>
        <w:ind w:left="0" w:hanging="2"/>
      </w:pPr>
    </w:p>
    <w:p w14:paraId="7F7B4ABF" w14:textId="4B08B903" w:rsidR="00E86A86" w:rsidRPr="00B66F94" w:rsidRDefault="000C711D" w:rsidP="00B66F94">
      <w:pPr>
        <w:spacing w:after="120" w:line="240" w:lineRule="auto"/>
        <w:ind w:left="0" w:hanging="2"/>
        <w:rPr>
          <w:sz w:val="22"/>
          <w:szCs w:val="22"/>
        </w:rPr>
      </w:pPr>
      <w:bookmarkStart w:id="1" w:name="_Hlk106191000"/>
      <w:r>
        <w:t>(</w:t>
      </w:r>
      <w:r w:rsidRPr="00B66F94">
        <w:rPr>
          <w:sz w:val="22"/>
          <w:szCs w:val="22"/>
        </w:rPr>
        <w:t xml:space="preserve">1) </w:t>
      </w:r>
      <w:r w:rsidR="00EF2BE6" w:rsidRPr="00B66F94">
        <w:rPr>
          <w:sz w:val="22"/>
          <w:szCs w:val="22"/>
        </w:rPr>
        <w:t>CONICET Mendoza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Av. Ruiz Leal s/n - Parque Gral. San Martín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Mendoza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Argentina</w:t>
      </w:r>
      <w:r w:rsidRPr="00B66F94">
        <w:rPr>
          <w:sz w:val="22"/>
          <w:szCs w:val="22"/>
        </w:rPr>
        <w:t>.</w:t>
      </w:r>
    </w:p>
    <w:p w14:paraId="37EF74DA" w14:textId="5DA8E5BC" w:rsidR="00E86A86" w:rsidRPr="00B66F94" w:rsidRDefault="000C711D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 xml:space="preserve">(2) </w:t>
      </w:r>
      <w:r w:rsidR="00EF2BE6" w:rsidRPr="00B66F94">
        <w:rPr>
          <w:sz w:val="22"/>
          <w:szCs w:val="22"/>
        </w:rPr>
        <w:t>Facultad de Ciencias Agrarias - UNCuyo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Alte. Brown 500</w:t>
      </w:r>
      <w:r w:rsidRPr="00B66F94">
        <w:rPr>
          <w:sz w:val="22"/>
          <w:szCs w:val="22"/>
        </w:rPr>
        <w:t xml:space="preserve">, </w:t>
      </w:r>
      <w:r w:rsidR="00B66F94" w:rsidRPr="00B66F94">
        <w:rPr>
          <w:sz w:val="22"/>
          <w:szCs w:val="22"/>
        </w:rPr>
        <w:t>Luján de Cuyo</w:t>
      </w:r>
      <w:r w:rsidRPr="00B66F94">
        <w:rPr>
          <w:sz w:val="22"/>
          <w:szCs w:val="22"/>
        </w:rPr>
        <w:t xml:space="preserve">, </w:t>
      </w:r>
      <w:r w:rsidR="00EF2BE6" w:rsidRPr="00B66F94">
        <w:rPr>
          <w:sz w:val="22"/>
          <w:szCs w:val="22"/>
        </w:rPr>
        <w:t>Mendoza, Argentina</w:t>
      </w:r>
      <w:r w:rsidRPr="00B66F94">
        <w:rPr>
          <w:sz w:val="22"/>
          <w:szCs w:val="22"/>
        </w:rPr>
        <w:t>.</w:t>
      </w:r>
    </w:p>
    <w:p w14:paraId="6AFD7BBD" w14:textId="3382502A" w:rsidR="00EF2BE6" w:rsidRPr="00B66F94" w:rsidRDefault="00EF2BE6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(3) INTA EEA-Mendoza, San Martin 3853, Luján de Cuyo, Mendoza, Argentina.</w:t>
      </w:r>
    </w:p>
    <w:p w14:paraId="294A3732" w14:textId="480A3100" w:rsidR="00B66F94" w:rsidRPr="00B66F94" w:rsidRDefault="00B66F94" w:rsidP="00B66F94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(4) Facultad de Ciencias Exactas y Naturales – UNCuyo, Padre Jorge Contreras 1300, Ciudad de Mendoza, Mendoza, Argentina.</w:t>
      </w:r>
    </w:p>
    <w:bookmarkEnd w:id="1"/>
    <w:p w14:paraId="7862A596" w14:textId="7BEFB1BE" w:rsidR="00E86A86" w:rsidRDefault="000C711D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B66F94">
        <w:rPr>
          <w:color w:val="000000"/>
        </w:rPr>
        <w:t xml:space="preserve"> </w:t>
      </w:r>
      <w:r w:rsidR="00B66F94" w:rsidRPr="00B66F94">
        <w:rPr>
          <w:color w:val="000000"/>
        </w:rPr>
        <w:t>agimenez@fca.uncu.edu.ar</w:t>
      </w:r>
      <w:r>
        <w:rPr>
          <w:color w:val="000000"/>
        </w:rPr>
        <w:tab/>
      </w:r>
    </w:p>
    <w:p w14:paraId="7B7755E3" w14:textId="77777777" w:rsidR="00E86A86" w:rsidRDefault="00E86A86">
      <w:pPr>
        <w:spacing w:after="0" w:line="240" w:lineRule="auto"/>
        <w:ind w:left="0" w:hanging="2"/>
      </w:pPr>
    </w:p>
    <w:p w14:paraId="2C26E2F9" w14:textId="77777777" w:rsidR="00E86A86" w:rsidRDefault="000C711D">
      <w:pPr>
        <w:spacing w:after="0" w:line="240" w:lineRule="auto"/>
        <w:ind w:left="0" w:hanging="2"/>
      </w:pPr>
      <w:r>
        <w:t>RESUMEN</w:t>
      </w:r>
    </w:p>
    <w:p w14:paraId="6ADE2785" w14:textId="77777777" w:rsidR="00E86A86" w:rsidRDefault="00E86A86">
      <w:pPr>
        <w:spacing w:after="0" w:line="240" w:lineRule="auto"/>
        <w:ind w:left="0" w:hanging="2"/>
      </w:pPr>
    </w:p>
    <w:p w14:paraId="5DD972AE" w14:textId="06929D05" w:rsidR="00E86A86" w:rsidRPr="000822F2" w:rsidRDefault="00CC7567">
      <w:pPr>
        <w:spacing w:after="0" w:line="240" w:lineRule="auto"/>
        <w:ind w:left="0" w:hanging="2"/>
        <w:rPr>
          <w:strike/>
        </w:rPr>
      </w:pPr>
      <w:r w:rsidRPr="00CC7567">
        <w:t>La uva</w:t>
      </w:r>
      <w:r>
        <w:t xml:space="preserve"> de mesa</w:t>
      </w:r>
      <w:r w:rsidR="0060578C">
        <w:t xml:space="preserve"> </w:t>
      </w:r>
      <w:r w:rsidR="0060578C" w:rsidRPr="0060578C">
        <w:rPr>
          <w:i/>
          <w:iCs/>
        </w:rPr>
        <w:t>cv</w:t>
      </w:r>
      <w:r w:rsidR="0060578C">
        <w:t xml:space="preserve"> Red Globe</w:t>
      </w:r>
      <w:r w:rsidRPr="00CC7567">
        <w:t xml:space="preserve"> es una fruta muy perecedera, por lo que presenta importantes pérdidas durante la etapa de poscosecha. </w:t>
      </w:r>
      <w:r w:rsidR="0060578C">
        <w:t>En Mendoza</w:t>
      </w:r>
      <w:r w:rsidR="0060578C" w:rsidRPr="00CC7567">
        <w:t xml:space="preserve">, </w:t>
      </w:r>
      <w:r w:rsidR="0060578C">
        <w:t xml:space="preserve">se ha descripto a </w:t>
      </w:r>
      <w:r w:rsidR="0060578C" w:rsidRPr="00CC7567">
        <w:t>la descomposición fúngica</w:t>
      </w:r>
      <w:r w:rsidR="0060578C">
        <w:t xml:space="preserve"> </w:t>
      </w:r>
      <w:r w:rsidR="005B0AF3">
        <w:t>ocasionada</w:t>
      </w:r>
      <w:r w:rsidR="0060578C">
        <w:t xml:space="preserve"> por </w:t>
      </w:r>
      <w:r w:rsidR="0060578C" w:rsidRPr="00CC7567">
        <w:rPr>
          <w:i/>
          <w:iCs/>
        </w:rPr>
        <w:t>A. alternata</w:t>
      </w:r>
      <w:r w:rsidR="0060578C">
        <w:t xml:space="preserve"> como una </w:t>
      </w:r>
      <w:r w:rsidR="0060578C" w:rsidRPr="00CC7567">
        <w:t>de las causas de deterioro</w:t>
      </w:r>
      <w:r w:rsidR="0060578C">
        <w:t xml:space="preserve"> de las uvas almacenadas. </w:t>
      </w:r>
      <w:r w:rsidRPr="00CC7567">
        <w:t>Los métodos convencionales de conservación de la uva se basan en la aplicación de dióxido de azufre (SO</w:t>
      </w:r>
      <w:r w:rsidRPr="00CC7567">
        <w:rPr>
          <w:vertAlign w:val="subscript"/>
        </w:rPr>
        <w:t>2</w:t>
      </w:r>
      <w:r w:rsidRPr="00CC7567">
        <w:t xml:space="preserve">) y almacenamiento en frío. Sin embargo, el </w:t>
      </w:r>
      <w:r w:rsidR="0031369A">
        <w:t>SO</w:t>
      </w:r>
      <w:r w:rsidR="0031369A" w:rsidRPr="0031369A">
        <w:rPr>
          <w:vertAlign w:val="subscript"/>
        </w:rPr>
        <w:t>2</w:t>
      </w:r>
      <w:r w:rsidRPr="00CC7567">
        <w:t xml:space="preserve"> puede provocar cambios sensoriales en las uvas y reacciones alérgicas en los consumidores.</w:t>
      </w:r>
      <w:r w:rsidR="0060578C">
        <w:t xml:space="preserve"> Para el reemplazo de </w:t>
      </w:r>
      <w:r w:rsidR="0031369A">
        <w:t>este producto</w:t>
      </w:r>
      <w:r w:rsidR="0060578C">
        <w:t xml:space="preserve"> se pro</w:t>
      </w:r>
      <w:r w:rsidR="0031369A">
        <w:t>pone</w:t>
      </w:r>
      <w:r w:rsidR="0060578C">
        <w:t xml:space="preserve"> </w:t>
      </w:r>
      <w:r w:rsidR="0031369A">
        <w:t>el uso de</w:t>
      </w:r>
      <w:r w:rsidRPr="00CC7567">
        <w:t xml:space="preserve"> irradiación UV-C no ionizante</w:t>
      </w:r>
      <w:r w:rsidR="003D1D58">
        <w:t>.</w:t>
      </w:r>
      <w:r w:rsidRPr="00CC7567">
        <w:t xml:space="preserve"> </w:t>
      </w:r>
      <w:r w:rsidR="003D1D58">
        <w:t>Esta</w:t>
      </w:r>
      <w:r w:rsidRPr="00CC7567">
        <w:t xml:space="preserve"> </w:t>
      </w:r>
      <w:r w:rsidR="0060578C">
        <w:t>tecnología</w:t>
      </w:r>
      <w:r w:rsidRPr="00CC7567">
        <w:t xml:space="preserve"> no deja residuos y </w:t>
      </w:r>
      <w:r w:rsidR="0060578C">
        <w:t xml:space="preserve">es </w:t>
      </w:r>
      <w:r w:rsidR="008A5A87">
        <w:t>de fácil implementación en la industria.</w:t>
      </w:r>
      <w:r w:rsidR="0031369A">
        <w:t xml:space="preserve"> </w:t>
      </w:r>
      <w:r w:rsidR="0045151F">
        <w:t>I</w:t>
      </w:r>
      <w:r w:rsidR="0045151F" w:rsidRPr="0045151F">
        <w:t xml:space="preserve">nvestigaciones </w:t>
      </w:r>
      <w:r w:rsidR="0045151F">
        <w:t xml:space="preserve">anteriores </w:t>
      </w:r>
      <w:r w:rsidR="0045151F" w:rsidRPr="0045151F">
        <w:t xml:space="preserve">han descrito que cuando la fruta </w:t>
      </w:r>
      <w:r w:rsidR="003D1D58">
        <w:t>es</w:t>
      </w:r>
      <w:r w:rsidR="0045151F" w:rsidRPr="0045151F">
        <w:t xml:space="preserve"> exp</w:t>
      </w:r>
      <w:r w:rsidR="003D1D58">
        <w:t>uesta</w:t>
      </w:r>
      <w:r w:rsidR="0045151F" w:rsidRPr="0045151F">
        <w:t xml:space="preserve"> a </w:t>
      </w:r>
      <w:r w:rsidR="003D1D58">
        <w:t xml:space="preserve">bajas </w:t>
      </w:r>
      <w:r w:rsidR="0045151F" w:rsidRPr="0045151F">
        <w:t>dosis de rayos UV, se induce una serie de cambios como la activación de</w:t>
      </w:r>
      <w:r w:rsidR="003D1D58">
        <w:t xml:space="preserve">l sistema de </w:t>
      </w:r>
      <w:r w:rsidR="0045151F" w:rsidRPr="0045151F">
        <w:t xml:space="preserve">defensa </w:t>
      </w:r>
      <w:r w:rsidR="0045151F">
        <w:t>y</w:t>
      </w:r>
      <w:r w:rsidR="0045151F" w:rsidRPr="0045151F">
        <w:t xml:space="preserve"> la producción de compuestos antifúngicos</w:t>
      </w:r>
      <w:r w:rsidR="0045151F">
        <w:t xml:space="preserve">. </w:t>
      </w:r>
      <w:r w:rsidR="003D1D58">
        <w:t>En</w:t>
      </w:r>
      <w:r w:rsidR="0031369A">
        <w:t xml:space="preserve"> este </w:t>
      </w:r>
      <w:r w:rsidR="0045151F">
        <w:t>trabajo</w:t>
      </w:r>
      <w:r w:rsidR="0031369A">
        <w:t xml:space="preserve"> </w:t>
      </w:r>
      <w:r w:rsidR="003D1D58">
        <w:t>se desea</w:t>
      </w:r>
      <w:r w:rsidR="0031369A">
        <w:t xml:space="preserve"> determinar si la exposición de racimos de uva a bajas dosis de UV-C p</w:t>
      </w:r>
      <w:r w:rsidR="0045151F">
        <w:t>ueden disminuir</w:t>
      </w:r>
      <w:r w:rsidR="0031369A">
        <w:t xml:space="preserve"> la </w:t>
      </w:r>
      <w:r w:rsidR="0045151F">
        <w:t>podredumbre causada por</w:t>
      </w:r>
      <w:r w:rsidR="0031369A">
        <w:t xml:space="preserve"> </w:t>
      </w:r>
      <w:r w:rsidR="0031369A" w:rsidRPr="0045151F">
        <w:rPr>
          <w:i/>
          <w:iCs/>
        </w:rPr>
        <w:t>A. alternata</w:t>
      </w:r>
      <w:r w:rsidR="0031369A">
        <w:t xml:space="preserve"> </w:t>
      </w:r>
      <w:r w:rsidR="0045151F">
        <w:t xml:space="preserve">durante la etapa de </w:t>
      </w:r>
      <w:r w:rsidR="003D1D58">
        <w:t>almacenamiento</w:t>
      </w:r>
      <w:r w:rsidR="0045151F">
        <w:t>.</w:t>
      </w:r>
      <w:r w:rsidR="004079B5">
        <w:t xml:space="preserve"> </w:t>
      </w:r>
      <w:r w:rsidR="00E824DC">
        <w:t xml:space="preserve">Para este ensayo, racimos de uva </w:t>
      </w:r>
      <w:r w:rsidR="00E824DC" w:rsidRPr="00397355">
        <w:rPr>
          <w:i/>
          <w:iCs/>
        </w:rPr>
        <w:t>cv</w:t>
      </w:r>
      <w:r w:rsidR="00E824DC">
        <w:t>. Red Globe fueron irradiados con 3000 mW/cm</w:t>
      </w:r>
      <w:r w:rsidR="00E824DC" w:rsidRPr="00397355">
        <w:rPr>
          <w:vertAlign w:val="superscript"/>
        </w:rPr>
        <w:t>2</w:t>
      </w:r>
      <w:r w:rsidR="00E824DC">
        <w:t xml:space="preserve"> durante 60 segundos. Luego de 3 días, grupos de 12 bayas</w:t>
      </w:r>
      <w:r w:rsidR="003D1D58">
        <w:t xml:space="preserve"> fueron desinfectados superficialmente con hipoclorito de sodio. Luego,</w:t>
      </w:r>
      <w:r w:rsidR="00E824DC">
        <w:t xml:space="preserve"> </w:t>
      </w:r>
      <w:r w:rsidR="003D1D58">
        <w:t>la</w:t>
      </w:r>
      <w:r w:rsidR="008F109F">
        <w:t xml:space="preserve">s uvas </w:t>
      </w:r>
      <w:r w:rsidR="00E824DC">
        <w:t xml:space="preserve">fueron </w:t>
      </w:r>
      <w:r w:rsidR="004079B5">
        <w:t>inoculad</w:t>
      </w:r>
      <w:r w:rsidR="008F109F">
        <w:t>a</w:t>
      </w:r>
      <w:r w:rsidR="004079B5">
        <w:t xml:space="preserve">s con </w:t>
      </w:r>
      <w:r w:rsidR="00E824DC">
        <w:t>una suspensión de conidios</w:t>
      </w:r>
      <w:r w:rsidR="008F109F">
        <w:t xml:space="preserve"> [1x10</w:t>
      </w:r>
      <w:r w:rsidR="008F109F" w:rsidRPr="008F109F">
        <w:rPr>
          <w:vertAlign w:val="superscript"/>
        </w:rPr>
        <w:t>4</w:t>
      </w:r>
      <w:r w:rsidR="008F109F">
        <w:t xml:space="preserve"> conidios/mL]</w:t>
      </w:r>
      <w:r w:rsidR="004079B5">
        <w:t>,</w:t>
      </w:r>
      <w:r w:rsidR="00E824DC">
        <w:t xml:space="preserve"> realizando una herida de 2 mm de diámetro </w:t>
      </w:r>
      <w:r w:rsidR="004079B5">
        <w:t>en el plano ecuatorial</w:t>
      </w:r>
      <w:r w:rsidR="00E824DC">
        <w:t xml:space="preserve">. </w:t>
      </w:r>
      <w:r w:rsidR="008F109F">
        <w:t>Como control</w:t>
      </w:r>
      <w:r w:rsidR="004079B5">
        <w:t xml:space="preserve"> </w:t>
      </w:r>
      <w:r w:rsidR="008F109F">
        <w:t xml:space="preserve">positivo de la enfermedad </w:t>
      </w:r>
      <w:r w:rsidR="004079B5">
        <w:t>s</w:t>
      </w:r>
      <w:r w:rsidR="00E824DC">
        <w:t>e inclu</w:t>
      </w:r>
      <w:r w:rsidR="008F109F">
        <w:t>yeron uvas inoculadas sin irradiar</w:t>
      </w:r>
      <w:r w:rsidR="00E824DC">
        <w:t xml:space="preserve"> y</w:t>
      </w:r>
      <w:r w:rsidR="008F109F">
        <w:t xml:space="preserve"> también</w:t>
      </w:r>
      <w:r w:rsidR="00E824DC">
        <w:t xml:space="preserve"> un grupo testigo del efecto del tratamiento comercial con anhídrido sulfuroso (SO</w:t>
      </w:r>
      <w:r w:rsidR="00E824DC" w:rsidRPr="00BE3E5D">
        <w:rPr>
          <w:vertAlign w:val="subscript"/>
        </w:rPr>
        <w:t>2</w:t>
      </w:r>
      <w:r w:rsidR="00E824DC">
        <w:t>).</w:t>
      </w:r>
      <w:r w:rsidR="004079B5">
        <w:t xml:space="preserve"> Las uvas fueron conservadas a 10 °C y 90 %HR.</w:t>
      </w:r>
      <w:r w:rsidR="00E824DC">
        <w:t xml:space="preserve"> </w:t>
      </w:r>
      <w:r w:rsidR="004079B5">
        <w:t xml:space="preserve">El diámetro de la lesión </w:t>
      </w:r>
      <w:r w:rsidR="00E824DC">
        <w:t>se midi</w:t>
      </w:r>
      <w:r w:rsidR="004079B5">
        <w:t>ó a los 10, 20 y 30 días</w:t>
      </w:r>
      <w:r w:rsidR="00E824DC">
        <w:t xml:space="preserve">. Los datos fueron comparados mediante ANOVA y test de </w:t>
      </w:r>
      <w:r w:rsidR="00251218">
        <w:t>Tukey</w:t>
      </w:r>
      <w:r w:rsidR="00E824DC">
        <w:t xml:space="preserve"> (</w:t>
      </w:r>
      <w:r w:rsidR="00E824DC" w:rsidRPr="00BE3E5D">
        <w:rPr>
          <w:i/>
          <w:iCs/>
        </w:rPr>
        <w:t>p</w:t>
      </w:r>
      <w:r w:rsidR="00E824DC">
        <w:t xml:space="preserve"> ≤ 0,05). Los resultados mostraron que</w:t>
      </w:r>
      <w:r w:rsidR="00251218">
        <w:t>, a los 10 días</w:t>
      </w:r>
      <w:r w:rsidR="00E824DC">
        <w:t>,</w:t>
      </w:r>
      <w:r w:rsidR="00251218">
        <w:t xml:space="preserve"> el pretratamiento con luz UV-C dismin</w:t>
      </w:r>
      <w:r w:rsidR="008F109F">
        <w:t>uyó</w:t>
      </w:r>
      <w:r w:rsidR="00251218">
        <w:t xml:space="preserve"> significativamente el crecimiento del patógeno sin llegar a igualar el efecto del tratamiento </w:t>
      </w:r>
      <w:r w:rsidR="008F109F">
        <w:t xml:space="preserve">con </w:t>
      </w:r>
      <w:r w:rsidR="00251218">
        <w:t>SO</w:t>
      </w:r>
      <w:r w:rsidR="00251218" w:rsidRPr="008F109F">
        <w:rPr>
          <w:vertAlign w:val="subscript"/>
        </w:rPr>
        <w:t>2</w:t>
      </w:r>
      <w:r w:rsidR="00251218">
        <w:t>. A los 20 días, la irradiación con UV-C seguía siendo efectiva</w:t>
      </w:r>
      <w:r w:rsidR="008F109F">
        <w:t>;</w:t>
      </w:r>
      <w:r w:rsidR="00251218">
        <w:t xml:space="preserve"> incluso, su efecto </w:t>
      </w:r>
      <w:r w:rsidR="008F109F">
        <w:t>fue</w:t>
      </w:r>
      <w:r w:rsidR="00251218">
        <w:t xml:space="preserve"> similar al del tratamiento comercial. Sin embargo</w:t>
      </w:r>
      <w:r w:rsidR="008F109F">
        <w:t>,</w:t>
      </w:r>
      <w:r w:rsidR="00251218">
        <w:t xml:space="preserve"> a los 30 días</w:t>
      </w:r>
      <w:r w:rsidR="002C3611">
        <w:t>, la aplicación de UV ya no tuvo efecto significativo sobre el avance de la enfermedad. Estos resultados nos permiten concluir que</w:t>
      </w:r>
      <w:r w:rsidR="006A26E4">
        <w:rPr>
          <w:color w:val="FF0000"/>
        </w:rPr>
        <w:t xml:space="preserve"> </w:t>
      </w:r>
      <w:r w:rsidR="006A26E4" w:rsidRPr="001B5A56">
        <w:t xml:space="preserve">si bien </w:t>
      </w:r>
      <w:r w:rsidR="002C3611" w:rsidRPr="001B5A56">
        <w:lastRenderedPageBreak/>
        <w:t xml:space="preserve">el pretratamiento con luz UV-C es una tecnología prometedora, </w:t>
      </w:r>
      <w:r w:rsidR="006A26E4" w:rsidRPr="001B5A56">
        <w:t xml:space="preserve">debemos mejorar las probabilidades de éxito.  En relación a esto proponemos explorar alternativas como variar dosis y frecuencia de irradiación o complementación con otras estrategias para </w:t>
      </w:r>
      <w:r w:rsidR="006A26E4">
        <w:t>aumentar</w:t>
      </w:r>
      <w:r w:rsidR="00975F1F">
        <w:t xml:space="preserve"> </w:t>
      </w:r>
      <w:r w:rsidR="006A26E4">
        <w:t xml:space="preserve">así </w:t>
      </w:r>
      <w:r w:rsidR="00975F1F">
        <w:t>la eficiencia de control del patógeno</w:t>
      </w:r>
      <w:r w:rsidR="001B5A56">
        <w:t>.</w:t>
      </w:r>
    </w:p>
    <w:p w14:paraId="67C41659" w14:textId="77777777" w:rsidR="006A26E4" w:rsidRDefault="006A26E4">
      <w:pPr>
        <w:spacing w:after="0" w:line="240" w:lineRule="auto"/>
        <w:ind w:left="0" w:hanging="2"/>
      </w:pPr>
    </w:p>
    <w:p w14:paraId="7A1162F6" w14:textId="34CF17D5" w:rsidR="00E86A86" w:rsidRDefault="000C711D">
      <w:pPr>
        <w:spacing w:after="0" w:line="240" w:lineRule="auto"/>
        <w:ind w:left="0" w:hanging="2"/>
      </w:pPr>
      <w:r>
        <w:t xml:space="preserve">Palabras Clave: </w:t>
      </w:r>
      <w:r w:rsidR="006C0435">
        <w:t>uva, poscosecha, manejo integrado, UV.</w:t>
      </w:r>
    </w:p>
    <w:p w14:paraId="080E6AD6" w14:textId="77777777" w:rsidR="00E86A86" w:rsidRDefault="00E86A86">
      <w:pPr>
        <w:spacing w:after="0" w:line="240" w:lineRule="auto"/>
        <w:ind w:left="0" w:hanging="2"/>
      </w:pPr>
    </w:p>
    <w:p w14:paraId="2C2543C6" w14:textId="77777777" w:rsidR="00E86A86" w:rsidRDefault="00E86A86">
      <w:pPr>
        <w:spacing w:after="0" w:line="240" w:lineRule="auto"/>
        <w:ind w:left="0" w:hanging="2"/>
      </w:pPr>
    </w:p>
    <w:p w14:paraId="2CA5C6F7" w14:textId="77777777" w:rsidR="00E86A86" w:rsidRDefault="00E86A86">
      <w:pPr>
        <w:spacing w:after="0" w:line="240" w:lineRule="auto"/>
        <w:ind w:left="0" w:hanging="2"/>
      </w:pPr>
    </w:p>
    <w:sectPr w:rsidR="00E86A86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12B6" w14:textId="77777777" w:rsidR="0095316A" w:rsidRDefault="009531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5B5DA3" w14:textId="77777777" w:rsidR="0095316A" w:rsidRDefault="009531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6A9C" w14:textId="77777777" w:rsidR="0095316A" w:rsidRDefault="009531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6EB602" w14:textId="77777777" w:rsidR="0095316A" w:rsidRDefault="009531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AD6" w14:textId="77777777" w:rsidR="00E86A86" w:rsidRDefault="000C711D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E1A88DF" wp14:editId="6B01B65D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86"/>
    <w:rsid w:val="00055A0B"/>
    <w:rsid w:val="000822F2"/>
    <w:rsid w:val="000B57FF"/>
    <w:rsid w:val="000C711D"/>
    <w:rsid w:val="00132DBB"/>
    <w:rsid w:val="001B5A56"/>
    <w:rsid w:val="00251218"/>
    <w:rsid w:val="002C3611"/>
    <w:rsid w:val="002D3B88"/>
    <w:rsid w:val="003109C8"/>
    <w:rsid w:val="0031369A"/>
    <w:rsid w:val="003D1D58"/>
    <w:rsid w:val="004079B5"/>
    <w:rsid w:val="0045151F"/>
    <w:rsid w:val="004F0A8C"/>
    <w:rsid w:val="005B0AF3"/>
    <w:rsid w:val="00603078"/>
    <w:rsid w:val="0060578C"/>
    <w:rsid w:val="006A26E4"/>
    <w:rsid w:val="006C0435"/>
    <w:rsid w:val="008A5A87"/>
    <w:rsid w:val="008D743E"/>
    <w:rsid w:val="008F109F"/>
    <w:rsid w:val="0095316A"/>
    <w:rsid w:val="00975F1F"/>
    <w:rsid w:val="009A366A"/>
    <w:rsid w:val="00A40856"/>
    <w:rsid w:val="00B66F94"/>
    <w:rsid w:val="00BC2E91"/>
    <w:rsid w:val="00CC7567"/>
    <w:rsid w:val="00D61561"/>
    <w:rsid w:val="00DA27D1"/>
    <w:rsid w:val="00DD4B88"/>
    <w:rsid w:val="00E824DC"/>
    <w:rsid w:val="00E86A86"/>
    <w:rsid w:val="00EF2BE6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E3B"/>
  <w15:docId w15:val="{2886D06A-F2CD-4294-B4DC-B24C215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Torres</cp:lastModifiedBy>
  <cp:revision>8</cp:revision>
  <dcterms:created xsi:type="dcterms:W3CDTF">2022-06-28T13:52:00Z</dcterms:created>
  <dcterms:modified xsi:type="dcterms:W3CDTF">2022-06-29T16:10:00Z</dcterms:modified>
</cp:coreProperties>
</file>