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D24B5" w:rsidRPr="00B862BF" w:rsidRDefault="004A5B46" w:rsidP="00B862B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62BF">
        <w:rPr>
          <w:rFonts w:ascii="Arial" w:eastAsia="Times New Roman" w:hAnsi="Arial" w:cs="Arial"/>
          <w:b/>
          <w:sz w:val="24"/>
          <w:szCs w:val="24"/>
        </w:rPr>
        <w:t xml:space="preserve">Identificación de polifenoles en extracto de tegumento de garbanzo tipo </w:t>
      </w:r>
      <w:proofErr w:type="spellStart"/>
      <w:r w:rsidRPr="00B862BF">
        <w:rPr>
          <w:rFonts w:ascii="Arial" w:eastAsia="Times New Roman" w:hAnsi="Arial" w:cs="Arial"/>
          <w:b/>
          <w:sz w:val="24"/>
          <w:szCs w:val="24"/>
        </w:rPr>
        <w:t>Kabuli</w:t>
      </w:r>
      <w:proofErr w:type="spellEnd"/>
    </w:p>
    <w:p w14:paraId="00000002" w14:textId="77777777" w:rsidR="009D24B5" w:rsidRPr="00B862BF" w:rsidRDefault="009D24B5" w:rsidP="00B862BF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00000003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sz w:val="24"/>
          <w:szCs w:val="24"/>
          <w:vertAlign w:val="superscript"/>
          <w:lang w:val="en-US"/>
        </w:rPr>
      </w:pPr>
      <w:r w:rsidRPr="00B862BF">
        <w:rPr>
          <w:rFonts w:ascii="Arial" w:eastAsia="Times New Roman" w:hAnsi="Arial" w:cs="Arial"/>
          <w:sz w:val="24"/>
          <w:szCs w:val="24"/>
          <w:lang w:val="en-US"/>
        </w:rPr>
        <w:t>Camiletti OF.</w:t>
      </w:r>
      <w:r w:rsidRPr="00B862BF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1,2</w:t>
      </w:r>
      <w:r w:rsidRPr="00B862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862BF">
        <w:rPr>
          <w:rFonts w:ascii="Arial" w:eastAsia="Times New Roman" w:hAnsi="Arial" w:cs="Arial"/>
          <w:sz w:val="24"/>
          <w:szCs w:val="24"/>
          <w:lang w:val="en-US"/>
        </w:rPr>
        <w:t>Bergesse</w:t>
      </w:r>
      <w:proofErr w:type="spellEnd"/>
      <w:r w:rsidRPr="00B862BF">
        <w:rPr>
          <w:rFonts w:ascii="Arial" w:eastAsia="Times New Roman" w:hAnsi="Arial" w:cs="Arial"/>
          <w:sz w:val="24"/>
          <w:szCs w:val="24"/>
          <w:lang w:val="en-US"/>
        </w:rPr>
        <w:t xml:space="preserve"> AE.</w:t>
      </w:r>
      <w:r w:rsidRPr="00B862BF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1,2</w:t>
      </w:r>
      <w:r w:rsidRPr="00B862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862BF">
        <w:rPr>
          <w:rFonts w:ascii="Arial" w:eastAsia="Times New Roman" w:hAnsi="Arial" w:cs="Arial"/>
          <w:sz w:val="24"/>
          <w:szCs w:val="24"/>
          <w:lang w:val="en-US"/>
        </w:rPr>
        <w:t>Valentinuzzi</w:t>
      </w:r>
      <w:proofErr w:type="spellEnd"/>
      <w:r w:rsidRPr="00B862BF">
        <w:rPr>
          <w:rFonts w:ascii="Arial" w:eastAsia="Times New Roman" w:hAnsi="Arial" w:cs="Arial"/>
          <w:sz w:val="24"/>
          <w:szCs w:val="24"/>
          <w:lang w:val="en-US"/>
        </w:rPr>
        <w:t xml:space="preserve"> MC.</w:t>
      </w:r>
      <w:r w:rsidRPr="00B862BF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3,4</w:t>
      </w:r>
      <w:r w:rsidRPr="00B862BF">
        <w:rPr>
          <w:rFonts w:ascii="Arial" w:eastAsia="Times New Roman" w:hAnsi="Arial" w:cs="Arial"/>
          <w:sz w:val="24"/>
          <w:szCs w:val="24"/>
          <w:lang w:val="en-US"/>
        </w:rPr>
        <w:t>, Prieto MC.</w:t>
      </w:r>
      <w:r w:rsidRPr="00B862BF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2,5</w:t>
      </w:r>
      <w:r w:rsidRPr="00B862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862BF">
        <w:rPr>
          <w:rFonts w:ascii="Arial" w:eastAsia="Times New Roman" w:hAnsi="Arial" w:cs="Arial"/>
          <w:sz w:val="24"/>
          <w:szCs w:val="24"/>
          <w:lang w:val="en-US"/>
        </w:rPr>
        <w:t>Riveros</w:t>
      </w:r>
      <w:proofErr w:type="spellEnd"/>
      <w:r w:rsidRPr="00B862BF">
        <w:rPr>
          <w:rFonts w:ascii="Arial" w:eastAsia="Times New Roman" w:hAnsi="Arial" w:cs="Arial"/>
          <w:sz w:val="24"/>
          <w:szCs w:val="24"/>
          <w:lang w:val="en-US"/>
        </w:rPr>
        <w:t xml:space="preserve"> CG</w:t>
      </w:r>
      <w:r w:rsidRPr="00B862BF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1,6</w:t>
      </w:r>
      <w:r w:rsidRPr="00B862BF">
        <w:rPr>
          <w:rFonts w:ascii="Arial" w:eastAsia="Times New Roman" w:hAnsi="Arial" w:cs="Arial"/>
          <w:sz w:val="24"/>
          <w:szCs w:val="24"/>
          <w:lang w:val="en-US"/>
        </w:rPr>
        <w:t>., Grosso NR.</w:t>
      </w:r>
      <w:r w:rsidRPr="00B862BF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1,6</w:t>
      </w:r>
    </w:p>
    <w:p w14:paraId="00000004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862BF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B862BF">
        <w:rPr>
          <w:rFonts w:ascii="Arial" w:eastAsia="Times New Roman" w:hAnsi="Arial" w:cs="Arial"/>
          <w:sz w:val="24"/>
          <w:szCs w:val="24"/>
        </w:rPr>
        <w:t>Instituto Multidisciplinario de Biología Vegetal (IMBIV – UNC), CONICET.</w:t>
      </w:r>
    </w:p>
    <w:p w14:paraId="00000005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862BF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B862BF">
        <w:rPr>
          <w:rFonts w:ascii="Arial" w:eastAsia="Times New Roman" w:hAnsi="Arial" w:cs="Arial"/>
          <w:sz w:val="24"/>
          <w:szCs w:val="24"/>
        </w:rPr>
        <w:t xml:space="preserve">Facultad de Ciencias Agropecuarias (FCA-UNC). </w:t>
      </w:r>
      <w:r w:rsidRPr="00B862BF">
        <w:rPr>
          <w:rFonts w:ascii="Arial" w:eastAsia="Times New Roman" w:hAnsi="Arial" w:cs="Arial"/>
          <w:color w:val="000000"/>
          <w:sz w:val="24"/>
          <w:szCs w:val="24"/>
        </w:rPr>
        <w:t>Departamento</w:t>
      </w:r>
      <w:r w:rsidRPr="00B862BF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Agroalimentos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>.</w:t>
      </w:r>
    </w:p>
    <w:p w14:paraId="00000006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862BF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B862BF">
        <w:rPr>
          <w:rFonts w:ascii="Arial" w:eastAsia="Times New Roman" w:hAnsi="Arial" w:cs="Arial"/>
          <w:sz w:val="24"/>
          <w:szCs w:val="24"/>
        </w:rPr>
        <w:t>Facultad de Ciencias Agropecuarias (FCA-UNC). Departamento de Ingeniería y Mecanización Rural. Cátedra d</w:t>
      </w:r>
      <w:r w:rsidRPr="00B862BF">
        <w:rPr>
          <w:rFonts w:ascii="Arial" w:eastAsia="Times New Roman" w:hAnsi="Arial" w:cs="Arial"/>
          <w:sz w:val="24"/>
          <w:szCs w:val="24"/>
        </w:rPr>
        <w:t>e Física.</w:t>
      </w:r>
    </w:p>
    <w:p w14:paraId="00000007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862BF">
        <w:rPr>
          <w:rFonts w:ascii="Arial" w:eastAsia="Times New Roman" w:hAnsi="Arial" w:cs="Arial"/>
          <w:sz w:val="24"/>
          <w:szCs w:val="24"/>
          <w:vertAlign w:val="superscript"/>
        </w:rPr>
        <w:t>4</w:t>
      </w:r>
      <w:r w:rsidRPr="00B862BF">
        <w:rPr>
          <w:rFonts w:ascii="Arial" w:eastAsia="Times New Roman" w:hAnsi="Arial" w:cs="Arial"/>
          <w:sz w:val="24"/>
          <w:szCs w:val="24"/>
        </w:rPr>
        <w:t>IFEG-CONICET.</w:t>
      </w:r>
    </w:p>
    <w:p w14:paraId="00000008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862BF">
        <w:rPr>
          <w:rFonts w:ascii="Arial" w:eastAsia="Times New Roman" w:hAnsi="Arial" w:cs="Arial"/>
          <w:sz w:val="24"/>
          <w:szCs w:val="24"/>
          <w:vertAlign w:val="superscript"/>
        </w:rPr>
        <w:t>5</w:t>
      </w:r>
      <w:r w:rsidRPr="00B862BF">
        <w:rPr>
          <w:rFonts w:ascii="Arial" w:eastAsia="Times New Roman" w:hAnsi="Arial" w:cs="Arial"/>
          <w:sz w:val="24"/>
          <w:szCs w:val="24"/>
        </w:rPr>
        <w:t>Instituto de Botánica del Nordeste (IBONE – UNNE), CONICET.</w:t>
      </w:r>
    </w:p>
    <w:p w14:paraId="00000009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 w:rsidRPr="00B862BF">
        <w:rPr>
          <w:rFonts w:ascii="Arial" w:eastAsia="Times New Roman" w:hAnsi="Arial" w:cs="Arial"/>
          <w:sz w:val="24"/>
          <w:szCs w:val="24"/>
          <w:vertAlign w:val="superscript"/>
        </w:rPr>
        <w:t>6</w:t>
      </w:r>
      <w:r w:rsidRPr="00B862BF">
        <w:rPr>
          <w:rFonts w:ascii="Arial" w:eastAsia="Times New Roman" w:hAnsi="Arial" w:cs="Arial"/>
          <w:sz w:val="24"/>
          <w:szCs w:val="24"/>
        </w:rPr>
        <w:t>Facultad de Ciencias Agropecuarias (FCA-UNC). Departamento de Fundamentación Biológica. Cátedra de Química Biológica.</w:t>
      </w:r>
    </w:p>
    <w:p w14:paraId="0000000A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">
        <w:r w:rsidRPr="00B862BF">
          <w:rPr>
            <w:rFonts w:ascii="Arial" w:eastAsia="Times New Roman" w:hAnsi="Arial" w:cs="Arial"/>
            <w:color w:val="000000"/>
            <w:sz w:val="24"/>
            <w:szCs w:val="24"/>
          </w:rPr>
          <w:t>ornella.camiletti@agro.unc.edu.ar</w:t>
        </w:r>
      </w:hyperlink>
    </w:p>
    <w:p w14:paraId="0000000B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2BF">
        <w:rPr>
          <w:rFonts w:ascii="Arial" w:eastAsia="Times New Roman" w:hAnsi="Arial" w:cs="Arial"/>
          <w:color w:val="000000"/>
          <w:sz w:val="24"/>
          <w:szCs w:val="24"/>
        </w:rPr>
        <w:t>abergesse@agro.unc.edu.ar</w:t>
      </w:r>
    </w:p>
    <w:p w14:paraId="0000000C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">
        <w:r w:rsidRPr="00B862BF">
          <w:rPr>
            <w:rFonts w:ascii="Arial" w:eastAsia="Times New Roman" w:hAnsi="Arial" w:cs="Arial"/>
            <w:color w:val="000000"/>
            <w:sz w:val="24"/>
            <w:szCs w:val="24"/>
          </w:rPr>
          <w:t>mcvalentinuzzi@agro.unc.edu.ar</w:t>
        </w:r>
      </w:hyperlink>
    </w:p>
    <w:p w14:paraId="0000000D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2BF">
        <w:rPr>
          <w:rFonts w:ascii="Arial" w:eastAsia="Times New Roman" w:hAnsi="Arial" w:cs="Arial"/>
          <w:color w:val="000000"/>
          <w:sz w:val="24"/>
          <w:szCs w:val="24"/>
        </w:rPr>
        <w:t>criveros@agro.unc.edu.ar</w:t>
      </w:r>
    </w:p>
    <w:p w14:paraId="0000000E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2BF">
        <w:rPr>
          <w:rFonts w:ascii="Arial" w:eastAsia="Times New Roman" w:hAnsi="Arial" w:cs="Arial"/>
          <w:color w:val="000000"/>
          <w:sz w:val="24"/>
          <w:szCs w:val="24"/>
        </w:rPr>
        <w:t>nrgrosso@agro.unc.edu.ar</w:t>
      </w:r>
    </w:p>
    <w:p w14:paraId="0000000F" w14:textId="77777777" w:rsidR="009D24B5" w:rsidRPr="00B862BF" w:rsidRDefault="009D24B5" w:rsidP="00B862BF">
      <w:pPr>
        <w:spacing w:line="240" w:lineRule="auto"/>
        <w:rPr>
          <w:rFonts w:ascii="Arial" w:hAnsi="Arial" w:cs="Arial"/>
          <w:color w:val="92D050"/>
          <w:sz w:val="24"/>
          <w:szCs w:val="24"/>
        </w:rPr>
      </w:pPr>
    </w:p>
    <w:p w14:paraId="00000010" w14:textId="0D3161F2" w:rsidR="009D24B5" w:rsidRPr="00B862BF" w:rsidRDefault="004A5B46" w:rsidP="00B862BF">
      <w:pPr>
        <w:spacing w:line="240" w:lineRule="auto"/>
        <w:rPr>
          <w:rFonts w:ascii="Arial" w:hAnsi="Arial" w:cs="Arial"/>
          <w:sz w:val="24"/>
          <w:szCs w:val="24"/>
        </w:rPr>
      </w:pPr>
      <w:r w:rsidRPr="00B862BF">
        <w:rPr>
          <w:rFonts w:ascii="Arial" w:eastAsia="Times New Roman" w:hAnsi="Arial" w:cs="Arial"/>
          <w:sz w:val="24"/>
          <w:szCs w:val="24"/>
        </w:rPr>
        <w:t>El garbanzo (</w:t>
      </w:r>
      <w:proofErr w:type="spellStart"/>
      <w:r w:rsidRPr="00B862BF">
        <w:rPr>
          <w:rFonts w:ascii="Arial" w:eastAsia="Times New Roman" w:hAnsi="Arial" w:cs="Arial"/>
          <w:i/>
          <w:sz w:val="24"/>
          <w:szCs w:val="24"/>
        </w:rPr>
        <w:t>Cicer</w:t>
      </w:r>
      <w:proofErr w:type="spellEnd"/>
      <w:r w:rsidRPr="00B862BF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862BF">
        <w:rPr>
          <w:rFonts w:ascii="Arial" w:eastAsia="Times New Roman" w:hAnsi="Arial" w:cs="Arial"/>
          <w:i/>
          <w:sz w:val="24"/>
          <w:szCs w:val="24"/>
        </w:rPr>
        <w:t>arietinum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>) es una legumbre que se caracteriza por tener compuestos antioxidantes, que se localizan principalmente en la cubierta o cascarilla de los granos. Según la evidencia científica, además de tener fibra, la cáscara del garbanzo contiene polifenoles que exhib</w:t>
      </w:r>
      <w:r w:rsidRPr="00B862BF">
        <w:rPr>
          <w:rFonts w:ascii="Arial" w:eastAsia="Times New Roman" w:hAnsi="Arial" w:cs="Arial"/>
          <w:sz w:val="24"/>
          <w:szCs w:val="24"/>
        </w:rPr>
        <w:t>en alta actividad antioxidante. Estos polifenoles, que incluyen flavonoides, taninos y ácidos fenólicos tienen la capacidad de inhibir o retardar la oxidación de los nutrientes de los alimentos, actuando como antioxidantes primarios. El objetivo de esta in</w:t>
      </w:r>
      <w:r w:rsidRPr="00B862BF">
        <w:rPr>
          <w:rFonts w:ascii="Arial" w:eastAsia="Times New Roman" w:hAnsi="Arial" w:cs="Arial"/>
          <w:sz w:val="24"/>
          <w:szCs w:val="24"/>
        </w:rPr>
        <w:t xml:space="preserve">vestigación fue extraer compuestos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polifenólicos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del tegumento de garbanzo y determinar su composición química. El tegumento de garbanzo </w:t>
      </w:r>
      <w:proofErr w:type="spellStart"/>
      <w:r w:rsidRPr="00B862BF">
        <w:rPr>
          <w:rFonts w:ascii="Arial" w:eastAsia="Times New Roman" w:hAnsi="Arial" w:cs="Arial"/>
          <w:i/>
          <w:sz w:val="24"/>
          <w:szCs w:val="24"/>
        </w:rPr>
        <w:t>Kabuli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cv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Chañarito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, se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deslipidizó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con </w:t>
      </w:r>
      <w:r w:rsidRPr="00B862BF">
        <w:rPr>
          <w:rFonts w:ascii="Arial" w:eastAsia="Times New Roman" w:hAnsi="Arial" w:cs="Arial"/>
          <w:i/>
          <w:sz w:val="24"/>
          <w:szCs w:val="24"/>
        </w:rPr>
        <w:t>n-</w:t>
      </w:r>
      <w:r w:rsidRPr="00B862BF">
        <w:rPr>
          <w:rFonts w:ascii="Arial" w:eastAsia="Times New Roman" w:hAnsi="Arial" w:cs="Arial"/>
          <w:sz w:val="24"/>
          <w:szCs w:val="24"/>
        </w:rPr>
        <w:t xml:space="preserve">hexano en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soxhlet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. Para extraer los compuestos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polifenólicos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>, el tegumento de</w:t>
      </w:r>
      <w:r w:rsidRPr="00B862BF">
        <w:rPr>
          <w:rFonts w:ascii="Arial" w:eastAsia="Times New Roman" w:hAnsi="Arial" w:cs="Arial"/>
          <w:sz w:val="24"/>
          <w:szCs w:val="24"/>
        </w:rPr>
        <w:t>sengrasado se extrajo con una solución de etanol-agua (70:30 v/v). Se realizaron 3 extracciones de 1 h cada una, a temperatura ambiente (23 °C). El extracto diluido obtenido se filtró y se concentró en un evaporador rotatorio. Luego, se liofilizó para obte</w:t>
      </w:r>
      <w:r w:rsidRPr="00B862BF">
        <w:rPr>
          <w:rFonts w:ascii="Arial" w:eastAsia="Times New Roman" w:hAnsi="Arial" w:cs="Arial"/>
          <w:sz w:val="24"/>
          <w:szCs w:val="24"/>
        </w:rPr>
        <w:t>ner un extracto seco y se almacenó a -18 °C. La identificación de los polifenoles se realizó por cromatografía líquida de alta eficacia (HPLC–ESI-MS/MS). En total, se hallaron 11 compuestos diferentes (ácido p-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hidroxibenzoico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hexósido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>, ácido p-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hidroxibenzo</w:t>
      </w:r>
      <w:r w:rsidRPr="00B862BF">
        <w:rPr>
          <w:rFonts w:ascii="Arial" w:eastAsia="Times New Roman" w:hAnsi="Arial" w:cs="Arial"/>
          <w:sz w:val="24"/>
          <w:szCs w:val="24"/>
        </w:rPr>
        <w:t>ico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pentosil-hexósido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, ácido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dihidroxibenzoico-pentosil-hexósido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, ácido ferúlico, kaempferol-3-pentosil-hexósido,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isoramnetina-pentosil-hexósido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, kaempferol-3-hexósido,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gliciteina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formononetin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I/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biochanin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B I,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formononetin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II/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biochanin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B II y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biochanin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A.</w:t>
      </w:r>
      <w:r w:rsidRPr="00B862BF">
        <w:rPr>
          <w:rFonts w:ascii="Arial" w:eastAsia="Times New Roman" w:hAnsi="Arial" w:cs="Arial"/>
          <w:sz w:val="24"/>
          <w:szCs w:val="24"/>
        </w:rPr>
        <w:t xml:space="preserve"> El tegumento de garbanzo tipo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Kabuli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contiene compuestos fenólicos, de los cuales algunos son derivados de los ácidos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hidroxibenzoico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hidroxicinámico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, y flavonoides como flavonoles e isoflavonas. Los compuestos encontrados en el extracto tienen un alto </w:t>
      </w:r>
      <w:r w:rsidRPr="00B862BF">
        <w:rPr>
          <w:rFonts w:ascii="Arial" w:eastAsia="Times New Roman" w:hAnsi="Arial" w:cs="Arial"/>
          <w:sz w:val="24"/>
          <w:szCs w:val="24"/>
        </w:rPr>
        <w:t>potencial como sustancias antioxidantes</w:t>
      </w:r>
      <w:r w:rsidR="00B862BF">
        <w:rPr>
          <w:rFonts w:ascii="Arial" w:eastAsia="Times New Roman" w:hAnsi="Arial" w:cs="Arial"/>
          <w:sz w:val="24"/>
          <w:szCs w:val="24"/>
        </w:rPr>
        <w:t>,</w:t>
      </w:r>
      <w:r w:rsidRPr="00B862BF">
        <w:rPr>
          <w:rFonts w:ascii="Arial" w:eastAsia="Times New Roman" w:hAnsi="Arial" w:cs="Arial"/>
          <w:sz w:val="24"/>
          <w:szCs w:val="24"/>
        </w:rPr>
        <w:t xml:space="preserve"> los que</w:t>
      </w:r>
      <w:r w:rsidR="00B862BF">
        <w:rPr>
          <w:rFonts w:ascii="Arial" w:eastAsia="Times New Roman" w:hAnsi="Arial" w:cs="Arial"/>
          <w:sz w:val="24"/>
          <w:szCs w:val="24"/>
        </w:rPr>
        <w:t xml:space="preserve"> </w:t>
      </w:r>
      <w:r w:rsidRPr="00B862BF">
        <w:rPr>
          <w:rFonts w:ascii="Arial" w:eastAsia="Times New Roman" w:hAnsi="Arial" w:cs="Arial"/>
          <w:sz w:val="24"/>
          <w:szCs w:val="24"/>
        </w:rPr>
        <w:t xml:space="preserve">podrían incorporarse en alimentos como sustancias </w:t>
      </w:r>
      <w:r w:rsidRPr="00B862BF">
        <w:rPr>
          <w:rFonts w:ascii="Arial" w:eastAsia="Times New Roman" w:hAnsi="Arial" w:cs="Arial"/>
          <w:sz w:val="24"/>
          <w:szCs w:val="24"/>
        </w:rPr>
        <w:t>naturales con propiedad</w:t>
      </w:r>
      <w:r w:rsidRPr="00B862BF">
        <w:rPr>
          <w:rFonts w:ascii="Arial" w:eastAsia="Times New Roman" w:hAnsi="Arial" w:cs="Arial"/>
          <w:sz w:val="24"/>
          <w:szCs w:val="24"/>
        </w:rPr>
        <w:t>e</w:t>
      </w:r>
      <w:r w:rsidRPr="00B862BF">
        <w:rPr>
          <w:rFonts w:ascii="Arial" w:eastAsia="Times New Roman" w:hAnsi="Arial" w:cs="Arial"/>
          <w:sz w:val="24"/>
          <w:szCs w:val="24"/>
        </w:rPr>
        <w:t xml:space="preserve">s conservantes. </w:t>
      </w:r>
    </w:p>
    <w:p w14:paraId="00000011" w14:textId="77777777" w:rsidR="009D24B5" w:rsidRPr="00B862BF" w:rsidRDefault="009D24B5" w:rsidP="00B862BF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862BF">
        <w:rPr>
          <w:rFonts w:ascii="Arial" w:eastAsia="Times New Roman" w:hAnsi="Arial" w:cs="Arial"/>
          <w:sz w:val="24"/>
          <w:szCs w:val="24"/>
        </w:rPr>
        <w:t xml:space="preserve">Palabras clave: antioxidantes, conservación natural, alimentos. </w:t>
      </w:r>
    </w:p>
    <w:p w14:paraId="00000013" w14:textId="77777777" w:rsidR="009D24B5" w:rsidRPr="00B862BF" w:rsidRDefault="009D24B5" w:rsidP="00B862B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D24B5" w:rsidRPr="00B862BF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1F16" w14:textId="77777777" w:rsidR="004A5B46" w:rsidRDefault="004A5B46" w:rsidP="00B862BF">
      <w:pPr>
        <w:spacing w:line="240" w:lineRule="auto"/>
      </w:pPr>
      <w:r>
        <w:separator/>
      </w:r>
    </w:p>
  </w:endnote>
  <w:endnote w:type="continuationSeparator" w:id="0">
    <w:p w14:paraId="5B67C234" w14:textId="77777777" w:rsidR="004A5B46" w:rsidRDefault="004A5B46" w:rsidP="00B86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0D46" w14:textId="77777777" w:rsidR="004A5B46" w:rsidRDefault="004A5B46" w:rsidP="00B862BF">
      <w:pPr>
        <w:spacing w:line="240" w:lineRule="auto"/>
      </w:pPr>
      <w:r>
        <w:separator/>
      </w:r>
    </w:p>
  </w:footnote>
  <w:footnote w:type="continuationSeparator" w:id="0">
    <w:p w14:paraId="5B47B245" w14:textId="77777777" w:rsidR="004A5B46" w:rsidRDefault="004A5B46" w:rsidP="00B86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D96F" w14:textId="77777777" w:rsidR="00B862BF" w:rsidRDefault="00B862BF" w:rsidP="00B862BF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hanging="2"/>
      <w:jc w:val="right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</w:t>
    </w:r>
    <w:r w:rsidRPr="00B862BF"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CICYTAC 202</w:t>
    </w:r>
    <w:r w:rsidRPr="00B862BF">
      <w:rPr>
        <w:b/>
        <w:i/>
        <w:sz w:val="18"/>
        <w:szCs w:val="18"/>
        <w:highlight w:val="white"/>
      </w:rPr>
      <w:t>2</w:t>
    </w:r>
    <w:r w:rsidRPr="00B862BF"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19451B1" wp14:editId="020EA90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8DED54" w14:textId="77777777" w:rsidR="00B862BF" w:rsidRDefault="00B862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B5"/>
    <w:rsid w:val="004A5B46"/>
    <w:rsid w:val="009D24B5"/>
    <w:rsid w:val="00B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D501"/>
  <w15:docId w15:val="{992DD361-EE67-4C60-A1F1-8E664824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3E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33E8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33E87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A39E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919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19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19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19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90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91907"/>
    <w:pPr>
      <w:spacing w:line="240" w:lineRule="auto"/>
      <w:jc w:val="left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862B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2BF"/>
  </w:style>
  <w:style w:type="paragraph" w:styleId="Piedepgina">
    <w:name w:val="footer"/>
    <w:basedOn w:val="Normal"/>
    <w:link w:val="PiedepginaCar"/>
    <w:uiPriority w:val="99"/>
    <w:unhideWhenUsed/>
    <w:rsid w:val="00B862B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valentinuzzi@agro.unc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nella.camiletti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HwNYWhNsWwKBX57tMx2rf4OcBw==">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Ornella Camiletti</cp:lastModifiedBy>
  <cp:revision>2</cp:revision>
  <dcterms:created xsi:type="dcterms:W3CDTF">2022-06-10T13:50:00Z</dcterms:created>
  <dcterms:modified xsi:type="dcterms:W3CDTF">2022-06-27T13:58:00Z</dcterms:modified>
</cp:coreProperties>
</file>