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03" w:rsidRDefault="00EB3D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proofErr w:type="spellStart"/>
      <w:r w:rsidRPr="00EB3D51">
        <w:rPr>
          <w:b/>
          <w:color w:val="000000"/>
        </w:rPr>
        <w:t>Fitoextractos</w:t>
      </w:r>
      <w:proofErr w:type="spellEnd"/>
      <w:r w:rsidRPr="00EB3D51">
        <w:rPr>
          <w:b/>
          <w:color w:val="000000"/>
        </w:rPr>
        <w:t xml:space="preserve"> como potenciales </w:t>
      </w:r>
      <w:proofErr w:type="spellStart"/>
      <w:r w:rsidRPr="00EB3D51">
        <w:rPr>
          <w:b/>
          <w:color w:val="000000"/>
        </w:rPr>
        <w:t>bioconservantes</w:t>
      </w:r>
      <w:proofErr w:type="spellEnd"/>
      <w:r w:rsidRPr="00EB3D51">
        <w:rPr>
          <w:b/>
          <w:color w:val="000000"/>
        </w:rPr>
        <w:t xml:space="preserve"> de ensilados</w:t>
      </w:r>
    </w:p>
    <w:p w:rsidR="00EC5A03" w:rsidRDefault="00EC5A03">
      <w:pPr>
        <w:spacing w:after="0" w:line="240" w:lineRule="auto"/>
        <w:ind w:left="0" w:hanging="2"/>
        <w:jc w:val="center"/>
      </w:pPr>
    </w:p>
    <w:p w:rsidR="00EC5A03" w:rsidRDefault="00EB3D51">
      <w:pPr>
        <w:spacing w:after="0" w:line="240" w:lineRule="auto"/>
        <w:ind w:left="0" w:hanging="2"/>
        <w:jc w:val="center"/>
      </w:pPr>
      <w:r>
        <w:t xml:space="preserve">Carrizo NI (1), </w:t>
      </w:r>
      <w:proofErr w:type="spellStart"/>
      <w:r>
        <w:t>Carabajal</w:t>
      </w:r>
      <w:proofErr w:type="spellEnd"/>
      <w:r>
        <w:t xml:space="preserve"> Torres </w:t>
      </w:r>
      <w:r w:rsidR="009F01F5">
        <w:t>J</w:t>
      </w:r>
      <w:r>
        <w:t>A</w:t>
      </w:r>
      <w:r w:rsidR="009F01F5">
        <w:t xml:space="preserve"> (2)</w:t>
      </w:r>
      <w:r>
        <w:t xml:space="preserve">, Gerez CL (2), </w:t>
      </w:r>
      <w:proofErr w:type="spellStart"/>
      <w:r>
        <w:t>Soberón</w:t>
      </w:r>
      <w:proofErr w:type="spellEnd"/>
      <w:r>
        <w:t xml:space="preserve"> JR (1)</w:t>
      </w:r>
    </w:p>
    <w:p w:rsidR="00EC5A03" w:rsidRDefault="00EC5A03">
      <w:pPr>
        <w:spacing w:after="0" w:line="240" w:lineRule="auto"/>
        <w:ind w:left="0" w:hanging="2"/>
        <w:jc w:val="center"/>
      </w:pPr>
    </w:p>
    <w:p w:rsidR="00EC5A03" w:rsidRDefault="00EB3D51">
      <w:pPr>
        <w:spacing w:after="120" w:line="240" w:lineRule="auto"/>
        <w:ind w:left="0" w:hanging="2"/>
        <w:jc w:val="left"/>
      </w:pPr>
      <w:r>
        <w:t xml:space="preserve">(1) </w:t>
      </w:r>
      <w:r w:rsidRPr="00EB3D51">
        <w:t>Instituto de Estudios Veget</w:t>
      </w:r>
      <w:r>
        <w:t xml:space="preserve">ales "Dr. Antonio R. </w:t>
      </w:r>
      <w:proofErr w:type="spellStart"/>
      <w:r>
        <w:t>Sampietro</w:t>
      </w:r>
      <w:proofErr w:type="spellEnd"/>
      <w:r>
        <w:t>",</w:t>
      </w:r>
      <w:r w:rsidRPr="00EB3D51">
        <w:t xml:space="preserve"> Facultad de </w:t>
      </w:r>
      <w:r>
        <w:t xml:space="preserve">Bioquímica, Química y Farmacia, </w:t>
      </w:r>
      <w:r w:rsidRPr="00EB3D51">
        <w:t>Universidad Nacional de Tucumán</w:t>
      </w:r>
      <w:r>
        <w:t>, Batalla de Ayacucho 461, San Miguel de Tucumán, Tucumán, Argentina.</w:t>
      </w:r>
    </w:p>
    <w:p w:rsidR="00EC5A03" w:rsidRDefault="00EB3D51">
      <w:pPr>
        <w:spacing w:line="240" w:lineRule="auto"/>
        <w:ind w:left="0" w:hanging="2"/>
        <w:jc w:val="left"/>
      </w:pPr>
      <w:r>
        <w:t xml:space="preserve">(2) Centro de Referencia para Lactobacilos (CERELA) CONICET, </w:t>
      </w:r>
      <w:r w:rsidRPr="00EB3D51">
        <w:t>Batalla de Chacabuco 145</w:t>
      </w:r>
      <w:r w:rsidR="009F01F5">
        <w:t xml:space="preserve">, </w:t>
      </w:r>
      <w:r>
        <w:t>San Miguel de Tucumán, Tucumán, Argentina.</w:t>
      </w:r>
    </w:p>
    <w:p w:rsidR="00EC5A03" w:rsidRDefault="009F01F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EB3D51">
        <w:rPr>
          <w:color w:val="000000"/>
        </w:rPr>
        <w:t xml:space="preserve"> </w:t>
      </w:r>
      <w:r w:rsidR="00EB3D51" w:rsidRPr="00EB3D51">
        <w:rPr>
          <w:color w:val="000000"/>
        </w:rPr>
        <w:t>clugerez@gmail.com</w:t>
      </w:r>
      <w:r w:rsidRPr="00EB3D51">
        <w:rPr>
          <w:color w:val="000000"/>
        </w:rPr>
        <w:tab/>
      </w:r>
    </w:p>
    <w:p w:rsidR="00EC5A03" w:rsidRDefault="00EC5A03">
      <w:pPr>
        <w:spacing w:after="0" w:line="240" w:lineRule="auto"/>
        <w:ind w:left="0" w:hanging="2"/>
      </w:pPr>
    </w:p>
    <w:p w:rsidR="00EC5A03" w:rsidRDefault="009F01F5">
      <w:pPr>
        <w:spacing w:after="0" w:line="240" w:lineRule="auto"/>
        <w:ind w:left="0" w:hanging="2"/>
      </w:pPr>
      <w:r>
        <w:t>RESUMEN</w:t>
      </w:r>
    </w:p>
    <w:p w:rsidR="00EC5A03" w:rsidRDefault="00EC5A03">
      <w:pPr>
        <w:spacing w:after="0" w:line="240" w:lineRule="auto"/>
        <w:ind w:left="0" w:hanging="2"/>
      </w:pPr>
    </w:p>
    <w:p w:rsidR="006A5E53" w:rsidRDefault="006A5E53">
      <w:pPr>
        <w:spacing w:after="0" w:line="240" w:lineRule="auto"/>
        <w:ind w:left="0" w:hanging="2"/>
      </w:pPr>
      <w:bookmarkStart w:id="0" w:name="_GoBack"/>
      <w:r w:rsidRPr="006A5E53">
        <w:t xml:space="preserve">El ensilaje es un proceso de conservación de forraje basado en una fermentación láctica que impide que se desarrollen microorganismos contaminantes. En numerosos casos esta fermentación es insuficiente y acontece el deterioro aeróbico en momento de apertura de silo. Las levaduras asimiladoras de lactato, comúnmente del género </w:t>
      </w:r>
      <w:r w:rsidRPr="006A5E53">
        <w:rPr>
          <w:i/>
        </w:rPr>
        <w:t xml:space="preserve">Candida, </w:t>
      </w:r>
      <w:proofErr w:type="spellStart"/>
      <w:r w:rsidRPr="006A5E53">
        <w:rPr>
          <w:i/>
        </w:rPr>
        <w:t>Pichia</w:t>
      </w:r>
      <w:proofErr w:type="spellEnd"/>
      <w:r w:rsidRPr="006A5E53">
        <w:t xml:space="preserve"> y </w:t>
      </w:r>
      <w:proofErr w:type="spellStart"/>
      <w:r w:rsidRPr="006A5E53">
        <w:rPr>
          <w:i/>
        </w:rPr>
        <w:t>Zigosaccharomyces</w:t>
      </w:r>
      <w:proofErr w:type="spellEnd"/>
      <w:r w:rsidRPr="006A5E53">
        <w:t xml:space="preserve">, inician el deterioro aeróbico. Recientemente se reportó la aplicación de </w:t>
      </w:r>
      <w:proofErr w:type="spellStart"/>
      <w:r w:rsidRPr="006A5E53">
        <w:t>fitoextractos</w:t>
      </w:r>
      <w:proofErr w:type="spellEnd"/>
      <w:r w:rsidRPr="006A5E53">
        <w:t xml:space="preserve"> de plantas con actividad antifúngica en silos evidenciándose el prometedor uso de los mismos. Algunos metabolitos vegetales responsables del efecto inhibitorio son las </w:t>
      </w:r>
      <w:proofErr w:type="spellStart"/>
      <w:r w:rsidRPr="006A5E53">
        <w:t>flavanonas</w:t>
      </w:r>
      <w:proofErr w:type="spellEnd"/>
      <w:r w:rsidRPr="006A5E53">
        <w:t xml:space="preserve"> y las saponinas </w:t>
      </w:r>
      <w:proofErr w:type="spellStart"/>
      <w:r w:rsidRPr="006A5E53">
        <w:t>triterpénicas</w:t>
      </w:r>
      <w:proofErr w:type="spellEnd"/>
      <w:r w:rsidRPr="006A5E53">
        <w:t xml:space="preserve">. En base a lo expuesto, los objetivos de este trabajo fueron evaluar la actividad antifúngica de </w:t>
      </w:r>
      <w:proofErr w:type="spellStart"/>
      <w:r w:rsidRPr="006A5E53">
        <w:rPr>
          <w:i/>
        </w:rPr>
        <w:t>Poligala</w:t>
      </w:r>
      <w:proofErr w:type="spellEnd"/>
      <w:r w:rsidRPr="006A5E53">
        <w:rPr>
          <w:i/>
        </w:rPr>
        <w:t xml:space="preserve"> </w:t>
      </w:r>
      <w:proofErr w:type="spellStart"/>
      <w:r w:rsidRPr="006A5E53">
        <w:rPr>
          <w:i/>
        </w:rPr>
        <w:t>senega</w:t>
      </w:r>
      <w:proofErr w:type="spellEnd"/>
      <w:r w:rsidRPr="006A5E53">
        <w:t xml:space="preserve"> (PS), </w:t>
      </w:r>
      <w:proofErr w:type="spellStart"/>
      <w:r w:rsidRPr="006A5E53">
        <w:rPr>
          <w:i/>
        </w:rPr>
        <w:t>Quillaja</w:t>
      </w:r>
      <w:proofErr w:type="spellEnd"/>
      <w:r w:rsidRPr="006A5E53">
        <w:rPr>
          <w:i/>
        </w:rPr>
        <w:t xml:space="preserve"> saponaria</w:t>
      </w:r>
      <w:r w:rsidRPr="006A5E53">
        <w:t xml:space="preserve"> (QS) y </w:t>
      </w:r>
      <w:proofErr w:type="spellStart"/>
      <w:r w:rsidRPr="006A5E53">
        <w:rPr>
          <w:i/>
        </w:rPr>
        <w:t>Kalanchoe</w:t>
      </w:r>
      <w:proofErr w:type="spellEnd"/>
      <w:r w:rsidRPr="006A5E53">
        <w:rPr>
          <w:i/>
        </w:rPr>
        <w:t xml:space="preserve"> </w:t>
      </w:r>
      <w:proofErr w:type="spellStart"/>
      <w:r w:rsidRPr="006A5E53">
        <w:rPr>
          <w:i/>
        </w:rPr>
        <w:t>daigremontiana</w:t>
      </w:r>
      <w:proofErr w:type="spellEnd"/>
      <w:r w:rsidRPr="006A5E53">
        <w:t xml:space="preserve"> (KD), aislar y purificar el/</w:t>
      </w:r>
      <w:proofErr w:type="gramStart"/>
      <w:r w:rsidRPr="006A5E53">
        <w:t>los compue</w:t>
      </w:r>
      <w:r w:rsidR="00093140">
        <w:t>sto</w:t>
      </w:r>
      <w:proofErr w:type="gramEnd"/>
      <w:r w:rsidR="00093140">
        <w:t xml:space="preserve">/s activos. </w:t>
      </w:r>
      <w:r w:rsidR="00F34282" w:rsidRPr="007209F5">
        <w:t xml:space="preserve">A partir de muestras de raíces </w:t>
      </w:r>
      <w:r w:rsidRPr="007209F5">
        <w:t>de PS, cort</w:t>
      </w:r>
      <w:r w:rsidR="007209F5" w:rsidRPr="007209F5">
        <w:t>eza de QS y partes aéreas de KD</w:t>
      </w:r>
      <w:r w:rsidRPr="007209F5">
        <w:t xml:space="preserve"> </w:t>
      </w:r>
      <w:r w:rsidR="00F34282" w:rsidRPr="007209F5">
        <w:t xml:space="preserve">se obtuvieron </w:t>
      </w:r>
      <w:r w:rsidRPr="007209F5">
        <w:t xml:space="preserve">extractos </w:t>
      </w:r>
      <w:proofErr w:type="spellStart"/>
      <w:r w:rsidRPr="007209F5">
        <w:t>etan</w:t>
      </w:r>
      <w:r w:rsidR="007209F5" w:rsidRPr="007209F5">
        <w:t>ólicos</w:t>
      </w:r>
      <w:proofErr w:type="spellEnd"/>
      <w:r w:rsidR="007209F5" w:rsidRPr="007209F5">
        <w:t xml:space="preserve"> (5% p/v) por maceración. </w:t>
      </w:r>
      <w:r w:rsidR="00F34282" w:rsidRPr="007209F5">
        <w:t>El material soluble extraído (ME) se calculó por gravimetría luego de eliminar los solventes (</w:t>
      </w:r>
      <w:proofErr w:type="spellStart"/>
      <w:r w:rsidR="00F34282" w:rsidRPr="007209F5">
        <w:t>rotaevaporacion</w:t>
      </w:r>
      <w:proofErr w:type="spellEnd"/>
      <w:r w:rsidR="00F34282" w:rsidRPr="007209F5">
        <w:t xml:space="preserve"> y liofilización). </w:t>
      </w:r>
      <w:r w:rsidRPr="007209F5">
        <w:t xml:space="preserve">La actividad antifúngica fue evaluada por difusión en agar con discos impregnados </w:t>
      </w:r>
      <w:r w:rsidR="00F34282" w:rsidRPr="007209F5">
        <w:t>con</w:t>
      </w:r>
      <w:r w:rsidRPr="007209F5">
        <w:t xml:space="preserve"> los extractos (</w:t>
      </w:r>
      <w:r w:rsidR="00F34282" w:rsidRPr="007209F5">
        <w:t xml:space="preserve">cantidades comprendidas entre 100-400 mg de ME). </w:t>
      </w:r>
      <w:r w:rsidRPr="007209F5">
        <w:rPr>
          <w:i/>
        </w:rPr>
        <w:t xml:space="preserve">Candida </w:t>
      </w:r>
      <w:proofErr w:type="spellStart"/>
      <w:r w:rsidRPr="007209F5">
        <w:rPr>
          <w:i/>
        </w:rPr>
        <w:t>albicans</w:t>
      </w:r>
      <w:proofErr w:type="spellEnd"/>
      <w:r w:rsidRPr="007209F5">
        <w:t xml:space="preserve"> ATCC 10231 </w:t>
      </w:r>
      <w:r w:rsidR="00F34282" w:rsidRPr="007209F5">
        <w:t xml:space="preserve">fue el microorganismo empleado, y </w:t>
      </w:r>
      <w:proofErr w:type="spellStart"/>
      <w:r w:rsidRPr="007209F5">
        <w:t>Mueller-Hint</w:t>
      </w:r>
      <w:r w:rsidRPr="006A5E53">
        <w:t>on</w:t>
      </w:r>
      <w:proofErr w:type="spellEnd"/>
      <w:r w:rsidRPr="006A5E53">
        <w:t xml:space="preserve"> agar</w:t>
      </w:r>
      <w:r w:rsidR="00F34282">
        <w:t xml:space="preserve"> el medio de </w:t>
      </w:r>
      <w:proofErr w:type="spellStart"/>
      <w:r w:rsidR="00F34282">
        <w:t>cultivo</w:t>
      </w:r>
      <w:r w:rsidRPr="006A5E53">
        <w:t>El</w:t>
      </w:r>
      <w:proofErr w:type="spellEnd"/>
      <w:r w:rsidRPr="006A5E53">
        <w:t xml:space="preserve"> rendimiento de los extractos </w:t>
      </w:r>
      <w:proofErr w:type="spellStart"/>
      <w:r w:rsidRPr="006A5E53">
        <w:t>etanólicos</w:t>
      </w:r>
      <w:proofErr w:type="spellEnd"/>
      <w:r w:rsidRPr="006A5E53">
        <w:t xml:space="preserve"> fue similar en las diferentes es</w:t>
      </w:r>
      <w:r w:rsidR="00093140">
        <w:t>pecies (0,83% PS, 1,27% QS y 1,87</w:t>
      </w:r>
      <w:r w:rsidRPr="006A5E53">
        <w:t xml:space="preserve">% KD).  El extracto etanólico de KD (EEKD), con una </w:t>
      </w:r>
      <w:r w:rsidR="00F34282">
        <w:t xml:space="preserve">cantidad </w:t>
      </w:r>
      <w:r w:rsidRPr="006A5E53">
        <w:t xml:space="preserve">de 400 mg, fue el único que presentó inhibición sobre la cepa fúngica </w:t>
      </w:r>
      <w:r w:rsidR="00F34282">
        <w:t xml:space="preserve">evaluada </w:t>
      </w:r>
      <w:r w:rsidR="00F34282" w:rsidRPr="006A5E53">
        <w:t>(diámetro= 14</w:t>
      </w:r>
      <w:r w:rsidR="00F34282">
        <w:t xml:space="preserve"> m</w:t>
      </w:r>
      <w:r w:rsidR="00F34282" w:rsidRPr="006A5E53">
        <w:t>m)</w:t>
      </w:r>
      <w:r w:rsidRPr="006A5E53">
        <w:t>. Posteriormente, este EEKD fue sometido a fraccionamiento con solventes orgánicos de diferente</w:t>
      </w:r>
      <w:r w:rsidR="00F34282">
        <w:t>s</w:t>
      </w:r>
      <w:r w:rsidRPr="006A5E53">
        <w:t xml:space="preserve"> polaridad</w:t>
      </w:r>
      <w:r w:rsidR="00F34282">
        <w:t>es</w:t>
      </w:r>
      <w:r w:rsidRPr="006A5E53">
        <w:t xml:space="preserve"> (</w:t>
      </w:r>
      <w:proofErr w:type="spellStart"/>
      <w:r w:rsidRPr="006A5E53">
        <w:t>diclorometano</w:t>
      </w:r>
      <w:proofErr w:type="spellEnd"/>
      <w:r w:rsidRPr="006A5E53">
        <w:t xml:space="preserve">, acetato de etilo y n-butanol). </w:t>
      </w:r>
      <w:r w:rsidR="004312DB" w:rsidRPr="006A5E53">
        <w:t xml:space="preserve">. </w:t>
      </w:r>
      <w:r w:rsidR="004312DB">
        <w:t xml:space="preserve">Las actividades de las fracciones fueron monitoreadas en cada etapa empleando inhibición en agar con discos. </w:t>
      </w:r>
      <w:r w:rsidRPr="006A5E53">
        <w:t xml:space="preserve">La fracción </w:t>
      </w:r>
      <w:proofErr w:type="spellStart"/>
      <w:r w:rsidRPr="006A5E53">
        <w:t>butanólica</w:t>
      </w:r>
      <w:proofErr w:type="spellEnd"/>
      <w:r w:rsidRPr="006A5E53">
        <w:t xml:space="preserve"> (BKD) mostró uno de los m</w:t>
      </w:r>
      <w:r w:rsidR="00093140">
        <w:t>ayores rendimientos (</w:t>
      </w:r>
      <w:r w:rsidR="00093140">
        <w:rPr>
          <w:rFonts w:eastAsia="Times New Roman"/>
          <w:color w:val="000000"/>
          <w:lang w:eastAsia="es-AR"/>
        </w:rPr>
        <w:t>11,01</w:t>
      </w:r>
      <w:r w:rsidRPr="006A5E53">
        <w:t xml:space="preserve">% respecto de EEKD) y actividad </w:t>
      </w:r>
      <w:r w:rsidR="00093140">
        <w:t>inhibitoria (diámetro de halo=10</w:t>
      </w:r>
      <w:r w:rsidRPr="006A5E53">
        <w:t xml:space="preserve"> mm). </w:t>
      </w:r>
      <w:r w:rsidR="004312DB">
        <w:t xml:space="preserve">Se seleccionó </w:t>
      </w:r>
      <w:r w:rsidRPr="006A5E53">
        <w:t xml:space="preserve">BKD </w:t>
      </w:r>
      <w:r w:rsidR="004312DB">
        <w:t>para las etapas de f</w:t>
      </w:r>
      <w:r w:rsidRPr="006A5E53">
        <w:t>racciona</w:t>
      </w:r>
      <w:r w:rsidR="004312DB">
        <w:t xml:space="preserve">miento </w:t>
      </w:r>
      <w:r w:rsidRPr="006A5E53">
        <w:t xml:space="preserve">por cromatografía en columna de </w:t>
      </w:r>
      <w:proofErr w:type="spellStart"/>
      <w:r w:rsidRPr="006A5E53">
        <w:t>sílica</w:t>
      </w:r>
      <w:proofErr w:type="spellEnd"/>
      <w:r w:rsidRPr="006A5E53">
        <w:t xml:space="preserve"> gel. Las fracciones colectadas se </w:t>
      </w:r>
      <w:r w:rsidR="004312DB">
        <w:t xml:space="preserve">analizaron mediante </w:t>
      </w:r>
      <w:r w:rsidRPr="006A5E53">
        <w:t>cromatografía en capa fina (</w:t>
      </w:r>
      <w:r w:rsidR="004312DB">
        <w:t>CCF</w:t>
      </w:r>
      <w:r w:rsidRPr="006A5E53">
        <w:t xml:space="preserve">) en placas de </w:t>
      </w:r>
      <w:proofErr w:type="spellStart"/>
      <w:r w:rsidRPr="006A5E53">
        <w:t>sílica</w:t>
      </w:r>
      <w:proofErr w:type="spellEnd"/>
      <w:r w:rsidRPr="006A5E53">
        <w:t xml:space="preserve"> gel y el uso del revelador p-</w:t>
      </w:r>
      <w:proofErr w:type="spellStart"/>
      <w:r w:rsidRPr="006A5E53">
        <w:t>anisaldehído</w:t>
      </w:r>
      <w:proofErr w:type="spellEnd"/>
      <w:r w:rsidRPr="006A5E53">
        <w:t xml:space="preserve"> sulfúrico permitió evidenciar presencia de ácidos fenólicos y terpenos. Se visualizaron tres grupos químicos (G1, G2 y G3), de los cuales G2 fue el que presentó mayor rendimiento (</w:t>
      </w:r>
      <w:r w:rsidR="00093140">
        <w:rPr>
          <w:rFonts w:eastAsia="Times New Roman"/>
          <w:color w:val="000000"/>
          <w:lang w:eastAsia="es-AR"/>
        </w:rPr>
        <w:t>37,46%</w:t>
      </w:r>
      <w:r w:rsidRPr="006A5E53">
        <w:t>) y actividad i</w:t>
      </w:r>
      <w:r w:rsidR="00093140">
        <w:t>nhibitoria (diámetro de halo=13</w:t>
      </w:r>
      <w:r w:rsidRPr="006A5E53">
        <w:t xml:space="preserve"> mm).  La fracción G2 fue sometida a una nueva separaci</w:t>
      </w:r>
      <w:r w:rsidR="00093140">
        <w:t xml:space="preserve">ón </w:t>
      </w:r>
      <w:proofErr w:type="spellStart"/>
      <w:r w:rsidR="00093140">
        <w:t>cromatográfica</w:t>
      </w:r>
      <w:proofErr w:type="spellEnd"/>
      <w:r w:rsidR="00093140">
        <w:t>, utilizando una</w:t>
      </w:r>
      <w:r w:rsidR="004312DB">
        <w:t xml:space="preserve"> columna </w:t>
      </w:r>
      <w:proofErr w:type="spellStart"/>
      <w:r w:rsidR="004312DB">
        <w:t>Sephadex</w:t>
      </w:r>
      <w:proofErr w:type="spellEnd"/>
      <w:r w:rsidR="004312DB">
        <w:t xml:space="preserve"> LH20. Los </w:t>
      </w:r>
      <w:proofErr w:type="spellStart"/>
      <w:r w:rsidR="004312DB">
        <w:t>eluatos</w:t>
      </w:r>
      <w:proofErr w:type="spellEnd"/>
      <w:r w:rsidR="004312DB">
        <w:t xml:space="preserve"> se reunieron en </w:t>
      </w:r>
      <w:r w:rsidRPr="006A5E53">
        <w:t>tres grupos químicos (S1, S2 y S3)</w:t>
      </w:r>
      <w:r w:rsidR="004312DB">
        <w:t xml:space="preserve"> teniendo en cuenta los </w:t>
      </w:r>
      <w:r w:rsidR="004312DB">
        <w:lastRenderedPageBreak/>
        <w:t>revelados luego de análisis por CCF. El grupo</w:t>
      </w:r>
      <w:r w:rsidRPr="006A5E53">
        <w:t xml:space="preserve"> S2 pr</w:t>
      </w:r>
      <w:r w:rsidR="00093140">
        <w:t>esentó mayor rendimiento (</w:t>
      </w:r>
      <w:r w:rsidR="00093140">
        <w:rPr>
          <w:rFonts w:eastAsia="Times New Roman"/>
          <w:color w:val="000000"/>
          <w:lang w:eastAsia="es-AR"/>
        </w:rPr>
        <w:t>53,96%</w:t>
      </w:r>
      <w:r w:rsidRPr="006A5E53">
        <w:t>) y actividad i</w:t>
      </w:r>
      <w:r w:rsidR="00093140">
        <w:t xml:space="preserve">nhibitoria (diámetro de halo=9 </w:t>
      </w:r>
      <w:r w:rsidRPr="006A5E53">
        <w:t xml:space="preserve">mm).  Por </w:t>
      </w:r>
      <w:r w:rsidR="004312DB">
        <w:t>CCF</w:t>
      </w:r>
      <w:r w:rsidRPr="006A5E53">
        <w:t xml:space="preserve"> y usando como revelador cloruro férrico se puso en evidencia la naturaleza fenólica de los compuestos presentes en S2. En conclusión, el extracto etanólico de </w:t>
      </w:r>
      <w:proofErr w:type="spellStart"/>
      <w:r w:rsidRPr="006A5E53">
        <w:rPr>
          <w:i/>
        </w:rPr>
        <w:t>Kalanchoe</w:t>
      </w:r>
      <w:proofErr w:type="spellEnd"/>
      <w:r w:rsidRPr="006A5E53">
        <w:rPr>
          <w:i/>
        </w:rPr>
        <w:t xml:space="preserve"> </w:t>
      </w:r>
      <w:proofErr w:type="spellStart"/>
      <w:r w:rsidRPr="006A5E53">
        <w:rPr>
          <w:i/>
        </w:rPr>
        <w:t>daigremontiana</w:t>
      </w:r>
      <w:proofErr w:type="spellEnd"/>
      <w:r w:rsidRPr="006A5E53">
        <w:t xml:space="preserve"> presentó actividad antifúngica sobre </w:t>
      </w:r>
      <w:r w:rsidRPr="006A5E53">
        <w:rPr>
          <w:i/>
        </w:rPr>
        <w:t xml:space="preserve">C. </w:t>
      </w:r>
      <w:proofErr w:type="spellStart"/>
      <w:r w:rsidRPr="006A5E53">
        <w:rPr>
          <w:i/>
        </w:rPr>
        <w:t>albicans</w:t>
      </w:r>
      <w:proofErr w:type="spellEnd"/>
      <w:r w:rsidRPr="006A5E53">
        <w:t>, cuyo efecto inhibitorio involucra a compuesto/s de naturaleza fenólica.</w:t>
      </w:r>
    </w:p>
    <w:bookmarkEnd w:id="0"/>
    <w:p w:rsidR="00EC5A03" w:rsidRDefault="00EC5A03">
      <w:pPr>
        <w:spacing w:after="0" w:line="240" w:lineRule="auto"/>
        <w:ind w:left="0" w:hanging="2"/>
      </w:pPr>
    </w:p>
    <w:p w:rsidR="00EC5A03" w:rsidRDefault="009F01F5">
      <w:pPr>
        <w:spacing w:after="0" w:line="240" w:lineRule="auto"/>
        <w:ind w:left="0" w:hanging="2"/>
      </w:pPr>
      <w:r>
        <w:t xml:space="preserve">Palabras Clave: </w:t>
      </w:r>
      <w:r w:rsidR="006A5E53" w:rsidRPr="006A5E53">
        <w:t>Extractos de plantas, Compuestos fenólicos.</w:t>
      </w:r>
    </w:p>
    <w:p w:rsidR="00EC5A03" w:rsidRDefault="00EC5A03">
      <w:pPr>
        <w:spacing w:after="0" w:line="240" w:lineRule="auto"/>
        <w:ind w:left="0" w:hanging="2"/>
      </w:pPr>
    </w:p>
    <w:p w:rsidR="00EC5A03" w:rsidRDefault="00EC5A03">
      <w:pPr>
        <w:spacing w:after="0" w:line="240" w:lineRule="auto"/>
        <w:ind w:left="0" w:hanging="2"/>
      </w:pPr>
    </w:p>
    <w:p w:rsidR="00EC5A03" w:rsidRDefault="00EC5A03">
      <w:pPr>
        <w:spacing w:after="0" w:line="240" w:lineRule="auto"/>
        <w:ind w:left="0" w:hanging="2"/>
      </w:pPr>
    </w:p>
    <w:sectPr w:rsidR="00EC5A0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59" w:rsidRDefault="00F1135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11359" w:rsidRDefault="00F1135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59" w:rsidRDefault="00F1135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11359" w:rsidRDefault="00F1135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03" w:rsidRDefault="009F01F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03"/>
    <w:rsid w:val="00093140"/>
    <w:rsid w:val="002B2917"/>
    <w:rsid w:val="003C76DE"/>
    <w:rsid w:val="004312DB"/>
    <w:rsid w:val="006A5E53"/>
    <w:rsid w:val="007209F5"/>
    <w:rsid w:val="00800719"/>
    <w:rsid w:val="009F01F5"/>
    <w:rsid w:val="00A21D66"/>
    <w:rsid w:val="00EB3D51"/>
    <w:rsid w:val="00EC5A03"/>
    <w:rsid w:val="00F11359"/>
    <w:rsid w:val="00F232FC"/>
    <w:rsid w:val="00F25091"/>
    <w:rsid w:val="00F26A75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1D92"/>
  <w15:docId w15:val="{FCD19FAE-463F-4D43-BD68-B210991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Natalí Carrizo</cp:lastModifiedBy>
  <cp:revision>7</cp:revision>
  <dcterms:created xsi:type="dcterms:W3CDTF">2022-06-24T16:32:00Z</dcterms:created>
  <dcterms:modified xsi:type="dcterms:W3CDTF">2022-06-30T20:24:00Z</dcterms:modified>
</cp:coreProperties>
</file>