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6D118" w14:textId="77777777" w:rsidR="00932F9A" w:rsidRPr="00932F9A" w:rsidRDefault="00932F9A" w:rsidP="00932F9A">
      <w:pPr>
        <w:pStyle w:val="NormalWeb"/>
        <w:jc w:val="center"/>
        <w:rPr>
          <w:rFonts w:ascii="Arial" w:hAnsi="Arial" w:cs="Arial"/>
          <w:b/>
          <w:bCs/>
          <w:iCs/>
          <w:lang w:val="es-ES_tradnl"/>
        </w:rPr>
      </w:pPr>
      <w:r w:rsidRPr="00932F9A">
        <w:rPr>
          <w:rFonts w:ascii="Arial" w:hAnsi="Arial" w:cs="Arial"/>
          <w:b/>
          <w:bCs/>
          <w:iCs/>
          <w:lang w:val="es-ES_tradnl"/>
        </w:rPr>
        <w:t>Evaluación comparativa del perfil lipídico asociado al consumo de centeno y trigo en un modelo de roedores.</w:t>
      </w:r>
    </w:p>
    <w:p w14:paraId="59804435" w14:textId="77777777" w:rsidR="00932F9A" w:rsidRPr="00932F9A" w:rsidRDefault="00932F9A" w:rsidP="00C50EE1">
      <w:pPr>
        <w:pStyle w:val="NormalWeb"/>
        <w:jc w:val="center"/>
        <w:rPr>
          <w:rStyle w:val="Textoennegrita"/>
          <w:rFonts w:ascii="Arial" w:hAnsi="Arial" w:cs="Arial"/>
          <w:b w:val="0"/>
        </w:rPr>
      </w:pPr>
      <w:r>
        <w:rPr>
          <w:rStyle w:val="Textoennegrita"/>
          <w:rFonts w:ascii="Arial" w:hAnsi="Arial" w:cs="Arial"/>
          <w:b w:val="0"/>
        </w:rPr>
        <w:t>Gómez Castro ML (1,2)</w:t>
      </w:r>
      <w:r w:rsidRPr="00932F9A">
        <w:rPr>
          <w:rStyle w:val="Textoennegrita"/>
          <w:rFonts w:ascii="Arial" w:hAnsi="Arial" w:cs="Arial"/>
          <w:b w:val="0"/>
        </w:rPr>
        <w:t>,</w:t>
      </w:r>
      <w:r w:rsidRPr="00932F9A">
        <w:rPr>
          <w:rFonts w:ascii="Arial" w:hAnsi="Arial" w:cs="Arial"/>
          <w:bCs/>
        </w:rPr>
        <w:t xml:space="preserve"> </w:t>
      </w:r>
      <w:proofErr w:type="spellStart"/>
      <w:r w:rsidRPr="00932F9A">
        <w:rPr>
          <w:rFonts w:ascii="Arial" w:hAnsi="Arial" w:cs="Arial"/>
          <w:bCs/>
        </w:rPr>
        <w:t>Larregain</w:t>
      </w:r>
      <w:proofErr w:type="spellEnd"/>
      <w:r>
        <w:rPr>
          <w:rFonts w:ascii="Arial" w:hAnsi="Arial" w:cs="Arial"/>
          <w:bCs/>
        </w:rPr>
        <w:t xml:space="preserve"> C (1)</w:t>
      </w:r>
      <w:r w:rsidRPr="00932F9A">
        <w:rPr>
          <w:rStyle w:val="Textoennegrita"/>
          <w:rFonts w:ascii="Arial" w:hAnsi="Arial" w:cs="Arial"/>
          <w:b w:val="0"/>
        </w:rPr>
        <w:t xml:space="preserve">, </w:t>
      </w:r>
      <w:proofErr w:type="spellStart"/>
      <w:r w:rsidRPr="00932F9A">
        <w:rPr>
          <w:rFonts w:ascii="Arial" w:hAnsi="Arial" w:cs="Arial"/>
          <w:bCs/>
        </w:rPr>
        <w:t>Barchuck</w:t>
      </w:r>
      <w:proofErr w:type="spellEnd"/>
      <w:r>
        <w:rPr>
          <w:rFonts w:ascii="Arial" w:hAnsi="Arial" w:cs="Arial"/>
          <w:bCs/>
        </w:rPr>
        <w:t xml:space="preserve"> M (2)</w:t>
      </w:r>
      <w:r w:rsidRPr="00932F9A">
        <w:rPr>
          <w:rFonts w:ascii="Arial" w:hAnsi="Arial" w:cs="Arial"/>
          <w:bCs/>
        </w:rPr>
        <w:t xml:space="preserve">, </w:t>
      </w:r>
      <w:proofErr w:type="spellStart"/>
      <w:r w:rsidRPr="00932F9A">
        <w:rPr>
          <w:rFonts w:ascii="Arial" w:hAnsi="Arial" w:cs="Arial"/>
          <w:bCs/>
        </w:rPr>
        <w:t>Berg</w:t>
      </w:r>
      <w:proofErr w:type="spellEnd"/>
      <w:r>
        <w:rPr>
          <w:rFonts w:ascii="Arial" w:hAnsi="Arial" w:cs="Arial"/>
          <w:bCs/>
        </w:rPr>
        <w:t xml:space="preserve"> G (2)</w:t>
      </w:r>
      <w:r w:rsidRPr="00932F9A">
        <w:rPr>
          <w:rFonts w:ascii="Arial" w:hAnsi="Arial" w:cs="Arial"/>
          <w:bCs/>
        </w:rPr>
        <w:t xml:space="preserve">, </w:t>
      </w:r>
      <w:r w:rsidRPr="00932F9A">
        <w:rPr>
          <w:rStyle w:val="Textoennegrita"/>
          <w:rFonts w:ascii="Arial" w:hAnsi="Arial" w:cs="Arial"/>
          <w:b w:val="0"/>
        </w:rPr>
        <w:t>Zuleta</w:t>
      </w:r>
      <w:r>
        <w:rPr>
          <w:rStyle w:val="Textoennegrita"/>
          <w:rFonts w:ascii="Arial" w:hAnsi="Arial" w:cs="Arial"/>
          <w:b w:val="0"/>
        </w:rPr>
        <w:t xml:space="preserve"> A (2)</w:t>
      </w:r>
      <w:r w:rsidRPr="00932F9A">
        <w:rPr>
          <w:rStyle w:val="Textoennegrita"/>
          <w:rFonts w:ascii="Arial" w:hAnsi="Arial" w:cs="Arial"/>
          <w:b w:val="0"/>
        </w:rPr>
        <w:t>,</w:t>
      </w:r>
      <w:r w:rsidRPr="00932F9A">
        <w:rPr>
          <w:rFonts w:ascii="Arial" w:hAnsi="Arial" w:cs="Arial"/>
          <w:bCs/>
        </w:rPr>
        <w:t xml:space="preserve"> Aguerre</w:t>
      </w:r>
      <w:r>
        <w:rPr>
          <w:rFonts w:ascii="Arial" w:hAnsi="Arial" w:cs="Arial"/>
          <w:bCs/>
        </w:rPr>
        <w:t xml:space="preserve"> R (1)</w:t>
      </w:r>
      <w:r w:rsidRPr="00932F9A">
        <w:rPr>
          <w:rFonts w:ascii="Arial" w:hAnsi="Arial" w:cs="Arial"/>
          <w:bCs/>
        </w:rPr>
        <w:t xml:space="preserve">, </w:t>
      </w:r>
      <w:proofErr w:type="spellStart"/>
      <w:r w:rsidRPr="00932F9A">
        <w:rPr>
          <w:rFonts w:ascii="Arial" w:hAnsi="Arial" w:cs="Arial"/>
          <w:bCs/>
        </w:rPr>
        <w:t>Coscarello</w:t>
      </w:r>
      <w:proofErr w:type="spellEnd"/>
      <w:r>
        <w:rPr>
          <w:rFonts w:ascii="Arial" w:hAnsi="Arial" w:cs="Arial"/>
          <w:bCs/>
        </w:rPr>
        <w:t xml:space="preserve"> EN (1)</w:t>
      </w:r>
      <w:r w:rsidRPr="00932F9A">
        <w:rPr>
          <w:rStyle w:val="Textoennegrita"/>
          <w:rFonts w:ascii="Arial" w:hAnsi="Arial" w:cs="Arial"/>
          <w:b w:val="0"/>
        </w:rPr>
        <w:t>,</w:t>
      </w:r>
      <w:r w:rsidRPr="00932F9A">
        <w:rPr>
          <w:rFonts w:ascii="Arial" w:hAnsi="Arial" w:cs="Arial"/>
          <w:bCs/>
        </w:rPr>
        <w:t xml:space="preserve"> </w:t>
      </w:r>
      <w:proofErr w:type="spellStart"/>
      <w:r w:rsidRPr="00932F9A">
        <w:rPr>
          <w:rFonts w:ascii="Arial" w:hAnsi="Arial" w:cs="Arial"/>
          <w:bCs/>
        </w:rPr>
        <w:t>Weisstaub</w:t>
      </w:r>
      <w:proofErr w:type="spellEnd"/>
      <w:r>
        <w:rPr>
          <w:rFonts w:ascii="Arial" w:hAnsi="Arial" w:cs="Arial"/>
          <w:bCs/>
        </w:rPr>
        <w:t xml:space="preserve"> AR (2)</w:t>
      </w:r>
    </w:p>
    <w:p w14:paraId="28C591D4" w14:textId="77777777" w:rsidR="00932F9A" w:rsidRPr="00932F9A" w:rsidRDefault="00932F9A" w:rsidP="00C50EE1">
      <w:pPr>
        <w:pStyle w:val="NormalWeb"/>
        <w:numPr>
          <w:ilvl w:val="0"/>
          <w:numId w:val="1"/>
        </w:numPr>
        <w:spacing w:before="0" w:beforeAutospacing="0"/>
        <w:rPr>
          <w:rStyle w:val="Textoennegrita"/>
          <w:rFonts w:ascii="Arial" w:hAnsi="Arial" w:cs="Arial"/>
          <w:b w:val="0"/>
        </w:rPr>
      </w:pPr>
      <w:r w:rsidRPr="00932F9A">
        <w:rPr>
          <w:rStyle w:val="Textoennegrita"/>
          <w:rFonts w:ascii="Arial" w:hAnsi="Arial" w:cs="Arial"/>
          <w:b w:val="0"/>
        </w:rPr>
        <w:t xml:space="preserve">Laboratorio de </w:t>
      </w:r>
      <w:proofErr w:type="spellStart"/>
      <w:r w:rsidRPr="00932F9A">
        <w:rPr>
          <w:rStyle w:val="Textoennegrita"/>
          <w:rFonts w:ascii="Arial" w:hAnsi="Arial" w:cs="Arial"/>
          <w:b w:val="0"/>
        </w:rPr>
        <w:t>Agroalimentos</w:t>
      </w:r>
      <w:proofErr w:type="spellEnd"/>
      <w:r w:rsidRPr="00932F9A">
        <w:rPr>
          <w:rStyle w:val="Textoennegrita"/>
          <w:rFonts w:ascii="Arial" w:hAnsi="Arial" w:cs="Arial"/>
          <w:b w:val="0"/>
        </w:rPr>
        <w:t>, Universidad de Morón</w:t>
      </w:r>
      <w:r w:rsidR="00C50EE1">
        <w:rPr>
          <w:rStyle w:val="Textoennegrita"/>
          <w:rFonts w:ascii="Arial" w:hAnsi="Arial" w:cs="Arial"/>
          <w:b w:val="0"/>
        </w:rPr>
        <w:t>; Machado 914</w:t>
      </w:r>
      <w:r w:rsidRPr="00932F9A">
        <w:rPr>
          <w:rStyle w:val="Textoennegrita"/>
          <w:rFonts w:ascii="Arial" w:hAnsi="Arial" w:cs="Arial"/>
          <w:b w:val="0"/>
        </w:rPr>
        <w:t>, Provincia de Buenos Aires</w:t>
      </w:r>
      <w:r>
        <w:rPr>
          <w:rStyle w:val="Textoennegrita"/>
          <w:rFonts w:ascii="Arial" w:hAnsi="Arial" w:cs="Arial"/>
          <w:b w:val="0"/>
        </w:rPr>
        <w:t>, Argentina</w:t>
      </w:r>
      <w:r w:rsidR="00C50EE1">
        <w:rPr>
          <w:rStyle w:val="Textoennegrita"/>
          <w:rFonts w:ascii="Arial" w:hAnsi="Arial" w:cs="Arial"/>
          <w:b w:val="0"/>
        </w:rPr>
        <w:t>.</w:t>
      </w:r>
    </w:p>
    <w:p w14:paraId="3E782D0F" w14:textId="77777777" w:rsidR="00C50EE1" w:rsidRPr="00C50EE1" w:rsidRDefault="00932F9A" w:rsidP="00C50EE1">
      <w:pPr>
        <w:pStyle w:val="NormalWeb"/>
        <w:numPr>
          <w:ilvl w:val="0"/>
          <w:numId w:val="1"/>
        </w:numPr>
        <w:rPr>
          <w:rFonts w:ascii="Arial" w:hAnsi="Arial" w:cs="Arial"/>
          <w:bCs/>
          <w:position w:val="-1"/>
        </w:rPr>
      </w:pPr>
      <w:r w:rsidRPr="00932F9A">
        <w:rPr>
          <w:rStyle w:val="Textoennegrita"/>
          <w:rFonts w:ascii="Arial" w:hAnsi="Arial" w:cs="Arial"/>
          <w:b w:val="0"/>
        </w:rPr>
        <w:t>Catedra de Nutrición y Bromatología, Facultad de Farmacia y Bioquímica, Universidad de Buenos Aires</w:t>
      </w:r>
      <w:r w:rsidR="00C50EE1">
        <w:rPr>
          <w:rStyle w:val="Textoennegrita"/>
          <w:rFonts w:ascii="Arial" w:hAnsi="Arial" w:cs="Arial"/>
          <w:b w:val="0"/>
        </w:rPr>
        <w:t>; Junín 954</w:t>
      </w:r>
      <w:r w:rsidRPr="00932F9A">
        <w:rPr>
          <w:rStyle w:val="Textoennegrita"/>
          <w:rFonts w:ascii="Arial" w:hAnsi="Arial" w:cs="Arial"/>
          <w:b w:val="0"/>
        </w:rPr>
        <w:t>, Ciudad Autónoma de Buenos Aires</w:t>
      </w:r>
      <w:r w:rsidR="00C50EE1">
        <w:rPr>
          <w:rStyle w:val="Textoennegrita"/>
          <w:rFonts w:ascii="Arial" w:hAnsi="Arial" w:cs="Arial"/>
          <w:b w:val="0"/>
        </w:rPr>
        <w:t>, Argentina.</w:t>
      </w:r>
    </w:p>
    <w:p w14:paraId="23657763" w14:textId="77777777" w:rsidR="00C50EE1" w:rsidRPr="00932F9A" w:rsidRDefault="00232C61" w:rsidP="00C50EE1">
      <w:pPr>
        <w:pStyle w:val="NormalWeb"/>
        <w:jc w:val="both"/>
        <w:rPr>
          <w:rStyle w:val="Textoennegrita"/>
          <w:rFonts w:ascii="Arial" w:hAnsi="Arial" w:cs="Arial"/>
          <w:b w:val="0"/>
        </w:rPr>
      </w:pPr>
      <w:r>
        <w:rPr>
          <w:rFonts w:ascii="Arial" w:eastAsia="Arial" w:hAnsi="Arial" w:cs="Arial"/>
          <w:color w:val="000000"/>
        </w:rPr>
        <w:t>Dirección de e-mail:</w:t>
      </w:r>
      <w:r w:rsidR="00C50EE1" w:rsidRPr="00C50EE1">
        <w:rPr>
          <w:rFonts w:ascii="Arial" w:hAnsi="Arial" w:cs="Arial"/>
        </w:rPr>
        <w:t xml:space="preserve"> </w:t>
      </w:r>
      <w:hyperlink r:id="rId8" w:history="1">
        <w:r w:rsidR="00C50EE1" w:rsidRPr="00932F9A">
          <w:rPr>
            <w:rStyle w:val="Hipervnculo"/>
            <w:rFonts w:ascii="Arial" w:hAnsi="Arial" w:cs="Arial"/>
          </w:rPr>
          <w:t>marialauragomezcastro81@gmail.com</w:t>
        </w:r>
      </w:hyperlink>
    </w:p>
    <w:p w14:paraId="06A1C9C4" w14:textId="77777777" w:rsidR="00932F9A" w:rsidRDefault="00232C61" w:rsidP="00C50EE1">
      <w:pPr>
        <w:spacing w:after="0" w:line="240" w:lineRule="auto"/>
        <w:ind w:leftChars="0" w:left="0" w:firstLineChars="0" w:firstLine="0"/>
      </w:pPr>
      <w:r>
        <w:t>RESUMEN</w:t>
      </w:r>
    </w:p>
    <w:p w14:paraId="07C60B8B" w14:textId="77777777" w:rsidR="00C50EE1" w:rsidRPr="00C50EE1" w:rsidRDefault="00932F9A" w:rsidP="00C50EE1">
      <w:pPr>
        <w:pStyle w:val="NormalWeb"/>
        <w:spacing w:line="276" w:lineRule="auto"/>
        <w:jc w:val="both"/>
        <w:rPr>
          <w:rFonts w:ascii="Arial" w:hAnsi="Arial" w:cs="Arial"/>
          <w:lang w:val="es-ES_tradnl"/>
        </w:rPr>
      </w:pPr>
      <w:r w:rsidRPr="00C50EE1">
        <w:rPr>
          <w:rFonts w:ascii="Arial" w:hAnsi="Arial" w:cs="Arial"/>
        </w:rPr>
        <w:t>El consumo de fibra se ha asociado a la prevención de distintas afecciones. Se ha observado que la ingesta de panes manufacturados con harinas de grano entero disminuye la incidencia de las enfermedades crónicas no transmisibles</w:t>
      </w:r>
      <w:r w:rsidRPr="00C50EE1">
        <w:rPr>
          <w:rFonts w:ascii="Arial" w:hAnsi="Arial" w:cs="Arial"/>
          <w:lang w:val="es-ES_tradnl"/>
        </w:rPr>
        <w:t>. El centeno es un cereal de bajo contenido en gluten con respecto al trigo, mayor contenido de fibras y rico en nutrientes básicos, que presenta escasos requerimientos proliferativos. El proceso de malteado modifica la estructura física de su grano generando un aumento de fibras solubles</w:t>
      </w:r>
      <w:r w:rsidRPr="00C50EE1">
        <w:rPr>
          <w:rFonts w:ascii="Arial" w:hAnsi="Arial" w:cs="Arial"/>
          <w:bCs/>
        </w:rPr>
        <w:t xml:space="preserve">. Este mecanismo </w:t>
      </w:r>
      <w:r w:rsidRPr="00C50EE1">
        <w:rPr>
          <w:rFonts w:ascii="Arial" w:hAnsi="Arial" w:cs="Arial"/>
          <w:lang w:val="es-ES_tradnl"/>
        </w:rPr>
        <w:t>consiste en iniciar la germinación y luego interrumpirla disminuyendo la humedad.</w:t>
      </w:r>
      <w:r w:rsidRPr="00C50EE1">
        <w:rPr>
          <w:rFonts w:ascii="Arial" w:hAnsi="Arial" w:cs="Arial"/>
          <w:vertAlign w:val="superscript"/>
          <w:lang w:val="es-ES_tradnl"/>
        </w:rPr>
        <w:t xml:space="preserve"> </w:t>
      </w:r>
      <w:r w:rsidRPr="00C50EE1">
        <w:rPr>
          <w:rFonts w:ascii="Arial" w:hAnsi="Arial" w:cs="Arial"/>
          <w:lang w:val="es-ES_tradnl"/>
        </w:rPr>
        <w:t>El presente estudio abarcó el análisis funcional y metabólico de la harina de centeno malteado de variedad autóctona Don Ewald INTA. Se evaluó el efecto de la ingesta de una dieta a base de centeno malteado (CM), de una dieta a base de</w:t>
      </w:r>
      <w:r w:rsidR="00C50EE1">
        <w:rPr>
          <w:rFonts w:ascii="Arial" w:hAnsi="Arial" w:cs="Arial"/>
          <w:lang w:val="es-ES_tradnl"/>
        </w:rPr>
        <w:t xml:space="preserve"> un producto panificado con centeno malteado</w:t>
      </w:r>
      <w:r w:rsidRPr="00C50EE1">
        <w:rPr>
          <w:rFonts w:ascii="Arial" w:hAnsi="Arial" w:cs="Arial"/>
          <w:lang w:val="es-ES_tradnl"/>
        </w:rPr>
        <w:t xml:space="preserve"> (PCM), de un panificado de pan blanco (PB) y de una dieta control (C) en el perfil lipídico de ratas de cepa </w:t>
      </w:r>
      <w:proofErr w:type="spellStart"/>
      <w:r w:rsidRPr="00C50EE1">
        <w:rPr>
          <w:rFonts w:ascii="Arial" w:hAnsi="Arial" w:cs="Arial"/>
          <w:lang w:val="es-ES_tradnl"/>
        </w:rPr>
        <w:t>Wistar</w:t>
      </w:r>
      <w:proofErr w:type="spellEnd"/>
      <w:r w:rsidRPr="00C50EE1">
        <w:rPr>
          <w:rFonts w:ascii="Arial" w:hAnsi="Arial" w:cs="Arial"/>
          <w:lang w:val="es-ES_tradnl"/>
        </w:rPr>
        <w:t xml:space="preserve">. </w:t>
      </w:r>
      <w:r w:rsidRPr="00C50EE1">
        <w:rPr>
          <w:rFonts w:ascii="Arial" w:hAnsi="Arial" w:cs="Arial"/>
          <w:bCs/>
        </w:rPr>
        <w:t>Al analizar los resultados, no se observaron diferencias significativas en los valores de triglicéridos (TG) tras la ingesta de dietas CM, PCM y PB respecto a la ingesta de la dieta C (42,5±10,7 / 55,7±11,9 / 29,2±11,4 vs 68,3±32,2). Se observó un aumento significativo del contenido de colesterol total (TC) tras la ingesta de la dieta PB con respecto a las dietas CM, PCM y C (118,2±17,6 vs 74,9±8,3 / 70,7±13,3 / 62,3±8,8</w:t>
      </w:r>
      <w:r w:rsidRPr="00C50EE1">
        <w:rPr>
          <w:rFonts w:ascii="Arial" w:hAnsi="Arial" w:cs="Arial"/>
          <w:i/>
          <w:lang w:val="en-US"/>
        </w:rPr>
        <w:t xml:space="preserve"> </w:t>
      </w:r>
      <w:bookmarkStart w:id="0" w:name="_Hlk106717511"/>
      <w:r w:rsidRPr="00C50EE1">
        <w:rPr>
          <w:rFonts w:ascii="Arial" w:hAnsi="Arial" w:cs="Arial"/>
          <w:i/>
          <w:lang w:val="en-US"/>
        </w:rPr>
        <w:t>p&lt; 0.0001</w:t>
      </w:r>
      <w:bookmarkEnd w:id="0"/>
      <w:r w:rsidRPr="00C50EE1">
        <w:rPr>
          <w:rFonts w:ascii="Arial" w:hAnsi="Arial" w:cs="Arial"/>
          <w:bCs/>
        </w:rPr>
        <w:t>). Por otra parte, se observó un aumento significativo del colesterol NO-HDL tras el consumo de las dietas PB y CM con respecto a las dietas PCM y C, que no presentaron diferencias significativas entre ellas (80,9±12,4 / 37,5±4,1 vs 18,1±2,5 / 16,7±2,4</w:t>
      </w:r>
      <w:r w:rsidRPr="00C50EE1">
        <w:rPr>
          <w:rFonts w:ascii="Arial" w:hAnsi="Arial" w:cs="Arial"/>
          <w:i/>
          <w:lang w:val="en-US"/>
        </w:rPr>
        <w:t xml:space="preserve"> p&lt; 0.0001</w:t>
      </w:r>
      <w:r w:rsidRPr="00C50EE1">
        <w:rPr>
          <w:rFonts w:ascii="Arial" w:hAnsi="Arial" w:cs="Arial"/>
          <w:bCs/>
        </w:rPr>
        <w:t>). Asimismo, se evaluaron los marcadores de aterogénesis TG/HDL y TC/HDL como índices predictivos de enfermedad cardiovascular. La relación TG/HDL no mostró diferencias significativas entre ratas alimentadas con cada una de las dietas (C: 1,4±0,1 / CM: 1,2±0,3 / PCM: 1,1±0,2 / PB: 0,7±0,2), en tanto que la relación TC/HDL mostró un aumento significativo tras la ingesta de dietas PB y CM con respecto a dietas PCM y C (3,2±1,1 / 2,0±0,2 vs 1,3±0,1 / 1,4±0,1</w:t>
      </w:r>
      <w:r w:rsidRPr="00C50EE1">
        <w:rPr>
          <w:rFonts w:ascii="Arial" w:hAnsi="Arial" w:cs="Arial"/>
          <w:i/>
          <w:lang w:val="en-US"/>
        </w:rPr>
        <w:t xml:space="preserve"> p&lt; 0.0001</w:t>
      </w:r>
      <w:r w:rsidRPr="00C50EE1">
        <w:rPr>
          <w:rFonts w:ascii="Arial" w:hAnsi="Arial" w:cs="Arial"/>
          <w:bCs/>
        </w:rPr>
        <w:t>).</w:t>
      </w:r>
      <w:r w:rsidRPr="00C50EE1">
        <w:rPr>
          <w:rFonts w:ascii="Arial" w:hAnsi="Arial" w:cs="Arial"/>
          <w:lang w:val="es-ES_tradnl"/>
        </w:rPr>
        <w:t xml:space="preserve"> Los resultados asocian la ingesta de centeno cultivado en Argentina</w:t>
      </w:r>
      <w:r w:rsidR="00C50EE1">
        <w:rPr>
          <w:rFonts w:ascii="Arial" w:hAnsi="Arial" w:cs="Arial"/>
          <w:lang w:val="es-ES_tradnl"/>
        </w:rPr>
        <w:t xml:space="preserve"> sometido al proceso de malteado</w:t>
      </w:r>
      <w:r w:rsidRPr="00C50EE1">
        <w:rPr>
          <w:rFonts w:ascii="Arial" w:hAnsi="Arial" w:cs="Arial"/>
          <w:lang w:val="es-ES_tradnl"/>
        </w:rPr>
        <w:t xml:space="preserve"> con una disminución de la concentración </w:t>
      </w:r>
      <w:r w:rsidRPr="00C50EE1">
        <w:rPr>
          <w:rFonts w:ascii="Arial" w:hAnsi="Arial" w:cs="Arial"/>
          <w:lang w:val="es-ES_tradnl"/>
        </w:rPr>
        <w:lastRenderedPageBreak/>
        <w:t xml:space="preserve">plasmática de colesterol total. Los beneficios en el metabolismo lipídico posicionan al centeno </w:t>
      </w:r>
      <w:r w:rsidRPr="00C50EE1">
        <w:rPr>
          <w:rFonts w:ascii="Arial" w:hAnsi="Arial" w:cs="Arial"/>
          <w:lang w:val="es-AR"/>
        </w:rPr>
        <w:t>como a una materia prima funcional que posee, más allá de sus destinos conocidos como forraje y cultivo de cobertura, potenciales aplicaciones en la industria de alimentos que destacan por sus efectos positivos en la salud humana.</w:t>
      </w:r>
    </w:p>
    <w:p w14:paraId="53B594D5" w14:textId="77777777" w:rsidR="00932F9A" w:rsidRPr="00C50EE1" w:rsidRDefault="00932F9A" w:rsidP="00932F9A">
      <w:pPr>
        <w:pStyle w:val="NormalWeb"/>
        <w:spacing w:line="276" w:lineRule="auto"/>
        <w:jc w:val="both"/>
        <w:rPr>
          <w:rFonts w:ascii="Arial" w:hAnsi="Arial" w:cs="Arial"/>
          <w:b/>
          <w:bCs/>
          <w:lang w:val="es-ES_tradnl"/>
        </w:rPr>
      </w:pPr>
      <w:r w:rsidRPr="00C50EE1">
        <w:rPr>
          <w:rFonts w:ascii="Arial" w:hAnsi="Arial" w:cs="Arial"/>
          <w:b/>
          <w:bCs/>
          <w:lang w:val="es-ES_tradnl"/>
        </w:rPr>
        <w:t>Palabras clave: pan integral, colesterol, enfermedades crónicas.</w:t>
      </w:r>
    </w:p>
    <w:p w14:paraId="781B9833" w14:textId="77777777" w:rsidR="00FC55B2" w:rsidRDefault="00FC55B2">
      <w:pPr>
        <w:spacing w:after="0" w:line="240" w:lineRule="auto"/>
        <w:ind w:left="0" w:hanging="2"/>
      </w:pPr>
    </w:p>
    <w:p w14:paraId="55AAE126" w14:textId="77777777" w:rsidR="00FC55B2" w:rsidRDefault="00FC55B2">
      <w:pPr>
        <w:spacing w:after="0" w:line="240" w:lineRule="auto"/>
        <w:ind w:left="0" w:hanging="2"/>
      </w:pPr>
    </w:p>
    <w:sectPr w:rsidR="00FC55B2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39C36" w14:textId="77777777" w:rsidR="00232C61" w:rsidRDefault="00232C61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1A4A8B9" w14:textId="77777777" w:rsidR="00232C61" w:rsidRDefault="00232C6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C5C21" w14:textId="77777777" w:rsidR="00232C61" w:rsidRDefault="00232C61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039F2FF" w14:textId="77777777" w:rsidR="00232C61" w:rsidRDefault="00232C6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21247" w14:textId="77777777" w:rsidR="00FC55B2" w:rsidRDefault="00232C61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42FB6D39" wp14:editId="429A0A0F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026A2"/>
    <w:multiLevelType w:val="hybridMultilevel"/>
    <w:tmpl w:val="EFA883B0"/>
    <w:lvl w:ilvl="0" w:tplc="59406864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9779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5B2"/>
    <w:rsid w:val="000F2324"/>
    <w:rsid w:val="00232C61"/>
    <w:rsid w:val="00932F9A"/>
    <w:rsid w:val="00AD179E"/>
    <w:rsid w:val="00C50EE1"/>
    <w:rsid w:val="00FC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00F8A"/>
  <w15:docId w15:val="{1CAD6B1A-DAC5-4D9A-AC26-61E206FB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932F9A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lauragomezcastro8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María Laura</cp:lastModifiedBy>
  <cp:revision>2</cp:revision>
  <dcterms:created xsi:type="dcterms:W3CDTF">2022-06-28T23:17:00Z</dcterms:created>
  <dcterms:modified xsi:type="dcterms:W3CDTF">2022-06-28T23:17:00Z</dcterms:modified>
</cp:coreProperties>
</file>