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948F1" w14:textId="77777777" w:rsidR="00FD29D4" w:rsidRDefault="00732967">
      <w:pPr>
        <w:spacing w:after="0" w:line="240" w:lineRule="auto"/>
        <w:ind w:left="0" w:hanging="2"/>
        <w:jc w:val="center"/>
      </w:pPr>
      <w:r>
        <w:rPr>
          <w:b/>
          <w:color w:val="000000"/>
        </w:rPr>
        <w:t xml:space="preserve">Aplicación </w:t>
      </w:r>
      <w:r w:rsidR="00D14C38">
        <w:rPr>
          <w:b/>
          <w:color w:val="000000"/>
        </w:rPr>
        <w:t xml:space="preserve">de </w:t>
      </w:r>
      <w:r w:rsidR="002161EE">
        <w:rPr>
          <w:b/>
          <w:color w:val="000000"/>
        </w:rPr>
        <w:t xml:space="preserve">luz </w:t>
      </w:r>
      <w:r>
        <w:rPr>
          <w:b/>
          <w:color w:val="000000"/>
        </w:rPr>
        <w:t>UVC en rodajas de</w:t>
      </w:r>
      <w:r w:rsidR="00D14C38">
        <w:rPr>
          <w:b/>
          <w:color w:val="000000"/>
        </w:rPr>
        <w:t xml:space="preserve"> tres variedades de</w:t>
      </w:r>
      <w:r>
        <w:rPr>
          <w:b/>
          <w:color w:val="000000"/>
        </w:rPr>
        <w:t xml:space="preserve"> zanahorias moradas como estrategia para incrementar su contenido de antioxidantes</w:t>
      </w:r>
    </w:p>
    <w:p w14:paraId="0CB008D7" w14:textId="77777777" w:rsidR="00CF6195" w:rsidRDefault="00CF6195">
      <w:pPr>
        <w:spacing w:after="0" w:line="240" w:lineRule="auto"/>
        <w:ind w:left="0" w:hanging="2"/>
        <w:jc w:val="center"/>
      </w:pPr>
    </w:p>
    <w:p w14:paraId="584FD7ED" w14:textId="45DEF508" w:rsidR="00FD29D4" w:rsidRDefault="00A411DD">
      <w:pPr>
        <w:spacing w:after="0" w:line="240" w:lineRule="auto"/>
        <w:ind w:left="0" w:hanging="2"/>
        <w:jc w:val="center"/>
      </w:pPr>
      <w:proofErr w:type="spellStart"/>
      <w:r>
        <w:t>Valerga</w:t>
      </w:r>
      <w:proofErr w:type="spellEnd"/>
      <w:r>
        <w:t xml:space="preserve"> </w:t>
      </w:r>
      <w:r w:rsidRPr="00133AF8">
        <w:t>L</w:t>
      </w:r>
      <w:r w:rsidR="001658F9" w:rsidRPr="00133AF8">
        <w:t xml:space="preserve"> (1</w:t>
      </w:r>
      <w:r w:rsidRPr="00133AF8">
        <w:t>,2</w:t>
      </w:r>
      <w:r w:rsidR="001658F9" w:rsidRPr="00133AF8">
        <w:t xml:space="preserve">), </w:t>
      </w:r>
      <w:proofErr w:type="spellStart"/>
      <w:r w:rsidRPr="00133AF8">
        <w:t>Concellón</w:t>
      </w:r>
      <w:proofErr w:type="spellEnd"/>
      <w:r w:rsidRPr="00133AF8">
        <w:t xml:space="preserve"> A (1,3</w:t>
      </w:r>
      <w:r w:rsidR="00BD4E3F" w:rsidRPr="00133AF8">
        <w:t>,*</w:t>
      </w:r>
      <w:r w:rsidRPr="00133AF8">
        <w:t xml:space="preserve">), </w:t>
      </w:r>
      <w:proofErr w:type="spellStart"/>
      <w:r w:rsidRPr="00133AF8">
        <w:t>Cavagnaro</w:t>
      </w:r>
      <w:proofErr w:type="spellEnd"/>
      <w:r w:rsidRPr="00133AF8">
        <w:t xml:space="preserve"> PF (1</w:t>
      </w:r>
      <w:r w:rsidR="00C051E9" w:rsidRPr="00133AF8">
        <w:t xml:space="preserve">, 2, </w:t>
      </w:r>
      <w:r w:rsidR="008049D0" w:rsidRPr="00133AF8">
        <w:t>4</w:t>
      </w:r>
      <w:r w:rsidR="00732967" w:rsidRPr="00133AF8">
        <w:t>)</w:t>
      </w:r>
    </w:p>
    <w:p w14:paraId="0A1B854E" w14:textId="77777777" w:rsidR="00FD29D4" w:rsidRDefault="00FD29D4">
      <w:pPr>
        <w:spacing w:after="0" w:line="240" w:lineRule="auto"/>
        <w:ind w:left="0" w:hanging="2"/>
        <w:jc w:val="center"/>
      </w:pPr>
    </w:p>
    <w:p w14:paraId="5CD5AB85" w14:textId="77777777" w:rsidR="00FD29D4" w:rsidRPr="00133AF8" w:rsidRDefault="001658F9" w:rsidP="00A411DD">
      <w:pPr>
        <w:spacing w:after="0" w:line="240" w:lineRule="auto"/>
        <w:ind w:left="0" w:hanging="2"/>
        <w:jc w:val="left"/>
      </w:pPr>
      <w:r w:rsidRPr="00133AF8">
        <w:t xml:space="preserve">(1) </w:t>
      </w:r>
      <w:r w:rsidR="00A411DD" w:rsidRPr="00133AF8">
        <w:t xml:space="preserve">Consejo Nacional </w:t>
      </w:r>
      <w:commentRangeStart w:id="0"/>
      <w:r w:rsidR="00A411DD" w:rsidRPr="00133AF8">
        <w:t>de Investigaciones Científicas y Técnicas (CONICET).</w:t>
      </w:r>
    </w:p>
    <w:p w14:paraId="0C21F146" w14:textId="77777777" w:rsidR="00FD29D4" w:rsidRPr="00133AF8" w:rsidRDefault="001658F9" w:rsidP="00BD4E3F">
      <w:pPr>
        <w:spacing w:after="0" w:line="240" w:lineRule="auto"/>
        <w:ind w:left="284" w:hangingChars="119" w:hanging="286"/>
        <w:jc w:val="left"/>
      </w:pPr>
      <w:r w:rsidRPr="00133AF8">
        <w:t xml:space="preserve">(2) </w:t>
      </w:r>
      <w:r w:rsidR="00A411DD" w:rsidRPr="00133AF8">
        <w:t>INTA EEA La Consulta</w:t>
      </w:r>
      <w:r w:rsidRPr="00133AF8">
        <w:t xml:space="preserve">, </w:t>
      </w:r>
      <w:r w:rsidR="00A411DD" w:rsidRPr="00133AF8">
        <w:t>Ex Ruta 40 Km 96</w:t>
      </w:r>
      <w:r w:rsidRPr="00133AF8">
        <w:t xml:space="preserve">, </w:t>
      </w:r>
      <w:r w:rsidR="00A411DD" w:rsidRPr="00133AF8">
        <w:t>La Consulta</w:t>
      </w:r>
      <w:r w:rsidRPr="00133AF8">
        <w:t xml:space="preserve">, </w:t>
      </w:r>
      <w:r w:rsidR="00A411DD" w:rsidRPr="00133AF8">
        <w:t>Mendoza</w:t>
      </w:r>
      <w:r w:rsidRPr="00133AF8">
        <w:t xml:space="preserve">, </w:t>
      </w:r>
      <w:r w:rsidR="00A411DD" w:rsidRPr="00133AF8">
        <w:t>Argentina</w:t>
      </w:r>
      <w:r w:rsidRPr="00133AF8">
        <w:t>.</w:t>
      </w:r>
    </w:p>
    <w:p w14:paraId="0D31C9BF" w14:textId="77777777" w:rsidR="00A411DD" w:rsidRPr="00133AF8" w:rsidRDefault="00A411DD" w:rsidP="00BD4E3F">
      <w:pPr>
        <w:spacing w:after="0" w:line="240" w:lineRule="auto"/>
        <w:ind w:left="284" w:hangingChars="119" w:hanging="286"/>
        <w:jc w:val="left"/>
      </w:pPr>
      <w:r w:rsidRPr="00133AF8">
        <w:t>(3) CIDCA, calle 47 esq. 116, La Plata, Buenos Aires, Argentina.</w:t>
      </w:r>
    </w:p>
    <w:p w14:paraId="4A156A85" w14:textId="03203CFE" w:rsidR="00A411DD" w:rsidRDefault="00A411DD" w:rsidP="00BD4E3F">
      <w:pPr>
        <w:spacing w:after="0" w:line="240" w:lineRule="auto"/>
        <w:ind w:left="284" w:hangingChars="119" w:hanging="286"/>
        <w:jc w:val="left"/>
      </w:pPr>
      <w:r w:rsidRPr="00133AF8">
        <w:t>(4) Instituto de Horticultura, Facultad de Ciencias Agrarias, Universidad Nacional de Cuyo</w:t>
      </w:r>
      <w:r w:rsidR="00C051E9">
        <w:t xml:space="preserve">, </w:t>
      </w:r>
      <w:r w:rsidRPr="00A411DD">
        <w:t xml:space="preserve">Almte. Brown 52, </w:t>
      </w:r>
      <w:r>
        <w:t>Luj</w:t>
      </w:r>
      <w:r w:rsidR="003F0C67">
        <w:t>á</w:t>
      </w:r>
      <w:r>
        <w:t xml:space="preserve">n de Cuyo, </w:t>
      </w:r>
      <w:r w:rsidRPr="00A411DD">
        <w:t>Mendoza, Argentina.</w:t>
      </w:r>
      <w:commentRangeEnd w:id="0"/>
      <w:r w:rsidR="00133AF8">
        <w:rPr>
          <w:rStyle w:val="Refdecomentario"/>
        </w:rPr>
        <w:commentReference w:id="0"/>
      </w:r>
    </w:p>
    <w:p w14:paraId="32A44AC2" w14:textId="77777777" w:rsidR="00CF6195" w:rsidRDefault="00CF6195" w:rsidP="00CF619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46AC7001" w14:textId="0C001478" w:rsidR="00CF6195" w:rsidRDefault="008049D0" w:rsidP="00BD4E3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</w:t>
      </w:r>
      <w:r w:rsidR="00BD4E3F">
        <w:rPr>
          <w:color w:val="000000"/>
        </w:rPr>
        <w:t>ón</w:t>
      </w:r>
      <w:r w:rsidR="001658F9">
        <w:rPr>
          <w:color w:val="000000"/>
        </w:rPr>
        <w:t xml:space="preserve"> de e-mail:</w:t>
      </w:r>
      <w:r w:rsidR="00CF6195">
        <w:rPr>
          <w:color w:val="000000"/>
        </w:rPr>
        <w:t xml:space="preserve"> </w:t>
      </w:r>
      <w:r w:rsidR="00BD4E3F" w:rsidRPr="00BD4E3F">
        <w:rPr>
          <w:color w:val="000000"/>
          <w:vertAlign w:val="superscript"/>
        </w:rPr>
        <w:t>(*)</w:t>
      </w:r>
      <w:r w:rsidR="00BD4E3F">
        <w:rPr>
          <w:color w:val="000000"/>
        </w:rPr>
        <w:t xml:space="preserve"> </w:t>
      </w:r>
      <w:hyperlink r:id="rId9" w:history="1">
        <w:r w:rsidR="00CA24B5" w:rsidRPr="00795C10">
          <w:rPr>
            <w:rStyle w:val="Hipervnculo"/>
          </w:rPr>
          <w:t>aconcell@quimica.unlp.edu.ar</w:t>
        </w:r>
      </w:hyperlink>
      <w:r w:rsidR="00CA24B5">
        <w:rPr>
          <w:color w:val="000000"/>
        </w:rPr>
        <w:t xml:space="preserve"> </w:t>
      </w:r>
    </w:p>
    <w:p w14:paraId="384C134A" w14:textId="77777777" w:rsidR="00FD29D4" w:rsidRDefault="00FD29D4">
      <w:pPr>
        <w:spacing w:after="0" w:line="240" w:lineRule="auto"/>
        <w:ind w:left="0" w:hanging="2"/>
      </w:pPr>
    </w:p>
    <w:p w14:paraId="08CA0213" w14:textId="31F67EDC" w:rsidR="00C051E9" w:rsidRDefault="00D22D08" w:rsidP="00CF6195">
      <w:pPr>
        <w:spacing w:after="0" w:line="240" w:lineRule="auto"/>
        <w:ind w:left="0" w:hanging="2"/>
      </w:pPr>
      <w:r w:rsidRPr="00D22D08">
        <w:t xml:space="preserve">En el marco del Programa de Mejoramiento Genético de zanahoria, con sede en INTA La Consulta, </w:t>
      </w:r>
      <w:r>
        <w:t xml:space="preserve">se </w:t>
      </w:r>
      <w:r w:rsidR="002161EE">
        <w:t>están ensayando</w:t>
      </w:r>
      <w:r>
        <w:t xml:space="preserve"> zanahorias con diferente </w:t>
      </w:r>
      <w:r w:rsidR="002161EE">
        <w:t xml:space="preserve">color de raíz y </w:t>
      </w:r>
      <w:r>
        <w:t xml:space="preserve">perfil de pigmentos, </w:t>
      </w:r>
      <w:r w:rsidR="002161EE">
        <w:t xml:space="preserve">con el fin </w:t>
      </w:r>
      <w:r>
        <w:t>de diversificar la oferta varietal y nutricional de esta hortaliza.</w:t>
      </w:r>
      <w:r w:rsidRPr="00D22D08">
        <w:t xml:space="preserve"> Las zanahorias moradas </w:t>
      </w:r>
      <w:r w:rsidR="002161EE">
        <w:t>acumulan</w:t>
      </w:r>
      <w:r w:rsidRPr="00D22D08">
        <w:t xml:space="preserve"> antocianinas, </w:t>
      </w:r>
      <w:r w:rsidR="002161EE">
        <w:t xml:space="preserve">compuestos flavonoides con fuerte capacidad </w:t>
      </w:r>
      <w:r w:rsidRPr="00D22D08">
        <w:t xml:space="preserve"> antioxidante</w:t>
      </w:r>
      <w:r>
        <w:t>. La</w:t>
      </w:r>
      <w:r w:rsidRPr="00D22D08">
        <w:t xml:space="preserve"> aplicación </w:t>
      </w:r>
      <w:proofErr w:type="spellStart"/>
      <w:r w:rsidRPr="00D22D08">
        <w:t>poscosecha</w:t>
      </w:r>
      <w:proofErr w:type="spellEnd"/>
      <w:r w:rsidRPr="00D22D08">
        <w:t xml:space="preserve"> de luz UVC ha sido efectiva para estimular la síntesis de compuestos benéficos para la salud </w:t>
      </w:r>
      <w:r w:rsidR="002161EE">
        <w:t xml:space="preserve">(principalmente fenoles) </w:t>
      </w:r>
      <w:r w:rsidRPr="00D22D08">
        <w:t xml:space="preserve">en </w:t>
      </w:r>
      <w:r>
        <w:t xml:space="preserve">zanahorias naranjas, pero no existen </w:t>
      </w:r>
      <w:r w:rsidR="00CF6195">
        <w:t>estudios precedentes</w:t>
      </w:r>
      <w:r>
        <w:t xml:space="preserve"> en variedades moradas. E</w:t>
      </w:r>
      <w:r w:rsidR="002161EE">
        <w:t>ste</w:t>
      </w:r>
      <w:r>
        <w:t xml:space="preserve"> trabajo evalu</w:t>
      </w:r>
      <w:r w:rsidR="002161EE">
        <w:t>ó</w:t>
      </w:r>
      <w:r>
        <w:t xml:space="preserve"> la respuesta al UVC </w:t>
      </w:r>
      <w:r w:rsidR="002161EE">
        <w:t>en tres</w:t>
      </w:r>
      <w:r>
        <w:t xml:space="preserve"> variedades moradas</w:t>
      </w:r>
      <w:r w:rsidR="002161EE">
        <w:t xml:space="preserve"> con diferente nivel de </w:t>
      </w:r>
      <w:r w:rsidR="00CF6195">
        <w:t xml:space="preserve">pigmentación: </w:t>
      </w:r>
      <w:r>
        <w:t xml:space="preserve">Black </w:t>
      </w:r>
      <w:proofErr w:type="spellStart"/>
      <w:r>
        <w:t>Nebula</w:t>
      </w:r>
      <w:proofErr w:type="spellEnd"/>
      <w:r>
        <w:t xml:space="preserve"> </w:t>
      </w:r>
      <w:r w:rsidR="002161EE">
        <w:t>(BN)</w:t>
      </w:r>
      <w:r w:rsidR="00CF6195">
        <w:t xml:space="preserve">, </w:t>
      </w:r>
      <w:proofErr w:type="spellStart"/>
      <w:r>
        <w:t>Purple</w:t>
      </w:r>
      <w:proofErr w:type="spellEnd"/>
      <w:r>
        <w:t xml:space="preserve"> Elite </w:t>
      </w:r>
      <w:r w:rsidR="002161EE">
        <w:t xml:space="preserve">(PE) </w:t>
      </w:r>
      <w:r>
        <w:t xml:space="preserve">y </w:t>
      </w:r>
      <w:r w:rsidR="00FE339A">
        <w:t xml:space="preserve">Ping </w:t>
      </w:r>
      <w:proofErr w:type="spellStart"/>
      <w:r>
        <w:t>Ding</w:t>
      </w:r>
      <w:proofErr w:type="spellEnd"/>
      <w:r>
        <w:t xml:space="preserve"> </w:t>
      </w:r>
      <w:r w:rsidR="00FE339A">
        <w:t>(PD)</w:t>
      </w:r>
      <w:r w:rsidR="00CF6195">
        <w:t xml:space="preserve">. </w:t>
      </w:r>
      <w:r w:rsidR="00FE339A">
        <w:t xml:space="preserve">Las zanahorias se cultivaron </w:t>
      </w:r>
      <w:bookmarkStart w:id="1" w:name="_GoBack"/>
      <w:bookmarkEnd w:id="1"/>
      <w:r w:rsidR="00FE339A">
        <w:t xml:space="preserve">en </w:t>
      </w:r>
      <w:r w:rsidR="00B57C52">
        <w:t>Luj</w:t>
      </w:r>
      <w:r w:rsidR="00BD4E3F">
        <w:t>á</w:t>
      </w:r>
      <w:r w:rsidR="00B57C52">
        <w:t xml:space="preserve">n de Cuyo, Mendoza, hasta alcanzar tamaño comercial. Luego se </w:t>
      </w:r>
      <w:r w:rsidR="00FE339A">
        <w:t xml:space="preserve">cosecharon, </w:t>
      </w:r>
      <w:r w:rsidR="00B57C52">
        <w:t>acondicionaron, cortaron en rodajas, trataron con UVC (8kJ/m</w:t>
      </w:r>
      <w:r w:rsidR="00B57C52" w:rsidRPr="00BD4E3F">
        <w:rPr>
          <w:vertAlign w:val="superscript"/>
        </w:rPr>
        <w:t>2</w:t>
      </w:r>
      <w:r w:rsidR="00B57C52">
        <w:t xml:space="preserve">) y se almacenaron </w:t>
      </w:r>
      <w:r w:rsidR="00FE339A">
        <w:t xml:space="preserve">(en bandejas plásticas cerradas con film perforado) </w:t>
      </w:r>
      <w:r w:rsidR="00B57C52">
        <w:t xml:space="preserve">en oscuridad a </w:t>
      </w:r>
      <w:r w:rsidR="00C051E9">
        <w:t>20</w:t>
      </w:r>
      <w:r w:rsidR="00B57C52">
        <w:t xml:space="preserve">°C </w:t>
      </w:r>
      <w:r w:rsidR="00C051E9">
        <w:t xml:space="preserve">y 95% HR </w:t>
      </w:r>
      <w:r w:rsidR="00B57C52">
        <w:t xml:space="preserve">por </w:t>
      </w:r>
      <w:r w:rsidR="00C051E9">
        <w:t>5</w:t>
      </w:r>
      <w:r w:rsidR="00B57C52">
        <w:t xml:space="preserve"> días. </w:t>
      </w:r>
      <w:r w:rsidR="00FE339A">
        <w:t xml:space="preserve">Controles negativos sin exposición a </w:t>
      </w:r>
      <w:r w:rsidR="00FE339A" w:rsidRPr="00CF6195">
        <w:t>UVC</w:t>
      </w:r>
      <w:r w:rsidR="009618AF">
        <w:t xml:space="preserve"> </w:t>
      </w:r>
      <w:r w:rsidR="00B57C52" w:rsidRPr="00CF6195">
        <w:t xml:space="preserve">se mantuvieron </w:t>
      </w:r>
      <w:r w:rsidR="00FE339A" w:rsidRPr="00CF6195">
        <w:t xml:space="preserve">en oscuridad </w:t>
      </w:r>
      <w:r w:rsidR="00B57C52" w:rsidRPr="00CF6195">
        <w:t xml:space="preserve">durante todo el proceso. Se determinó la capacidad antioxidante (AOX) por ABTS, el contenido de fenoles totales (FT) por </w:t>
      </w:r>
      <w:proofErr w:type="spellStart"/>
      <w:r w:rsidR="00B57C52" w:rsidRPr="00CF6195">
        <w:t>Folin-Ciocalteu</w:t>
      </w:r>
      <w:proofErr w:type="spellEnd"/>
      <w:r w:rsidR="00B57C52" w:rsidRPr="00CF6195">
        <w:t>,</w:t>
      </w:r>
      <w:r w:rsidR="00FE339A" w:rsidRPr="00CF6195">
        <w:t xml:space="preserve"> </w:t>
      </w:r>
      <w:r w:rsidR="00C051E9" w:rsidRPr="00CF6195">
        <w:t xml:space="preserve">y </w:t>
      </w:r>
      <w:r w:rsidR="00B57C52" w:rsidRPr="00CF6195">
        <w:t xml:space="preserve">ácidos </w:t>
      </w:r>
      <w:proofErr w:type="spellStart"/>
      <w:r w:rsidR="00B57C52" w:rsidRPr="00CF6195">
        <w:t>hidroxicinámicos</w:t>
      </w:r>
      <w:proofErr w:type="spellEnd"/>
      <w:r w:rsidR="00B57C52" w:rsidRPr="00CF6195">
        <w:t xml:space="preserve"> (AHC) y antocianinas (ANT) por espectrofotometría</w:t>
      </w:r>
      <w:r w:rsidR="00C051E9" w:rsidRPr="00CF6195">
        <w:t xml:space="preserve"> a los 0, 1, 3 y 5 días de almacenamiento</w:t>
      </w:r>
      <w:r w:rsidR="00B57C52" w:rsidRPr="00CF6195">
        <w:t xml:space="preserve">. </w:t>
      </w:r>
      <w:r w:rsidR="00CF6195" w:rsidRPr="00CF6195">
        <w:t xml:space="preserve">El contenido inicial de FT fue de </w:t>
      </w:r>
      <w:commentRangeStart w:id="2"/>
      <w:r w:rsidR="00CF6195" w:rsidRPr="00CF6195">
        <w:rPr>
          <w:rFonts w:ascii="Tahoma" w:hAnsi="Tahoma" w:cs="Tahoma"/>
        </w:rPr>
        <w:t>⁓</w:t>
      </w:r>
      <w:commentRangeEnd w:id="2"/>
      <w:r w:rsidR="007A72E2">
        <w:rPr>
          <w:rStyle w:val="Refdecomentario"/>
        </w:rPr>
        <w:commentReference w:id="2"/>
      </w:r>
      <w:r w:rsidR="00CF6195" w:rsidRPr="00CF6195">
        <w:t xml:space="preserve">7000, 2000 y 900 mg/kg, mientras que el contenido inicial de antocianinas fue de </w:t>
      </w:r>
      <w:commentRangeStart w:id="3"/>
      <w:r w:rsidR="00CF6195" w:rsidRPr="00CF6195">
        <w:rPr>
          <w:rFonts w:ascii="Tahoma" w:hAnsi="Tahoma" w:cs="Tahoma"/>
        </w:rPr>
        <w:t>⁓</w:t>
      </w:r>
      <w:commentRangeEnd w:id="3"/>
      <w:r w:rsidR="007A72E2">
        <w:rPr>
          <w:rStyle w:val="Refdecomentario"/>
        </w:rPr>
        <w:commentReference w:id="3"/>
      </w:r>
      <w:r w:rsidR="00CF6195" w:rsidRPr="00CF6195">
        <w:t xml:space="preserve">1200, 80 y 30 mg/kg en BN, PE y PD, respectivamente. </w:t>
      </w:r>
      <w:r w:rsidR="00C051E9" w:rsidRPr="00CF6195">
        <w:t xml:space="preserve">En la variedad </w:t>
      </w:r>
      <w:r w:rsidR="00FE339A" w:rsidRPr="00CF6195">
        <w:t xml:space="preserve">BN </w:t>
      </w:r>
      <w:r w:rsidR="00C051E9" w:rsidRPr="00CF6195">
        <w:t xml:space="preserve">no se observó respuesta </w:t>
      </w:r>
      <w:r w:rsidR="00FE339A" w:rsidRPr="00CF6195">
        <w:t xml:space="preserve">frente </w:t>
      </w:r>
      <w:r w:rsidR="00C051E9" w:rsidRPr="00CF6195">
        <w:t xml:space="preserve">al UVC </w:t>
      </w:r>
      <w:r w:rsidR="00FE339A" w:rsidRPr="00CF6195">
        <w:t xml:space="preserve">para </w:t>
      </w:r>
      <w:r w:rsidR="00C051E9" w:rsidRPr="00CF6195">
        <w:t xml:space="preserve">AOX, FT y AHC, mientras que en </w:t>
      </w:r>
      <w:r w:rsidR="00FE339A" w:rsidRPr="00CF6195">
        <w:t xml:space="preserve">PE </w:t>
      </w:r>
      <w:r w:rsidR="00C051E9" w:rsidRPr="00CF6195">
        <w:t xml:space="preserve">y </w:t>
      </w:r>
      <w:r w:rsidR="00FE339A" w:rsidRPr="00CF6195">
        <w:t>PD</w:t>
      </w:r>
      <w:r w:rsidR="00C051E9" w:rsidRPr="00CF6195">
        <w:t xml:space="preserve"> </w:t>
      </w:r>
      <w:r w:rsidR="00FE339A" w:rsidRPr="00CF6195">
        <w:t xml:space="preserve">dichas variables se </w:t>
      </w:r>
      <w:r w:rsidR="00C051E9" w:rsidRPr="00CF6195">
        <w:t xml:space="preserve">incrementaron desde el </w:t>
      </w:r>
      <w:r w:rsidR="00FE339A" w:rsidRPr="00CF6195">
        <w:t xml:space="preserve">primer </w:t>
      </w:r>
      <w:r w:rsidR="00C051E9" w:rsidRPr="00CF6195">
        <w:t xml:space="preserve">día de almacenamiento, alcanzando </w:t>
      </w:r>
      <w:r w:rsidR="00D14C38" w:rsidRPr="00CF6195">
        <w:t xml:space="preserve">aumentos significativos, de </w:t>
      </w:r>
      <w:r w:rsidR="00C051E9" w:rsidRPr="00CF6195">
        <w:t>2</w:t>
      </w:r>
      <w:r w:rsidR="00D14C38" w:rsidRPr="00CF6195">
        <w:t>-</w:t>
      </w:r>
      <w:r w:rsidR="00C051E9" w:rsidRPr="00CF6195">
        <w:t xml:space="preserve">3 veces </w:t>
      </w:r>
      <w:r w:rsidR="00D14C38" w:rsidRPr="00CF6195">
        <w:t xml:space="preserve">respecto al </w:t>
      </w:r>
      <w:r w:rsidR="00BD4E3F">
        <w:t>c</w:t>
      </w:r>
      <w:r w:rsidR="00D14C38" w:rsidRPr="00CF6195">
        <w:t>ontrol sin UVC,</w:t>
      </w:r>
      <w:r w:rsidR="00C051E9" w:rsidRPr="00CF6195">
        <w:t xml:space="preserve"> al final del almacenamiento. </w:t>
      </w:r>
      <w:r w:rsidR="00D14C38" w:rsidRPr="00CF6195">
        <w:t>El contenido de</w:t>
      </w:r>
      <w:r w:rsidR="00C051E9" w:rsidRPr="00CF6195">
        <w:t xml:space="preserve"> ANT no</w:t>
      </w:r>
      <w:r w:rsidR="00D14C38" w:rsidRPr="00CF6195">
        <w:t xml:space="preserve"> </w:t>
      </w:r>
      <w:r w:rsidR="009618AF">
        <w:t xml:space="preserve">se modificó significativamente </w:t>
      </w:r>
      <w:r w:rsidR="00D14C38" w:rsidRPr="00CF6195">
        <w:t>debido al</w:t>
      </w:r>
      <w:r w:rsidR="00C051E9">
        <w:t xml:space="preserve"> UVC en</w:t>
      </w:r>
      <w:r w:rsidR="00D14C38">
        <w:t xml:space="preserve"> ninguna de</w:t>
      </w:r>
      <w:r w:rsidR="00C051E9">
        <w:t xml:space="preserve"> las tres variedades</w:t>
      </w:r>
      <w:r w:rsidR="00D14C38">
        <w:t>.</w:t>
      </w:r>
      <w:r w:rsidR="00CF6195">
        <w:t xml:space="preserve"> </w:t>
      </w:r>
      <w:r w:rsidR="00C051E9">
        <w:t xml:space="preserve">Los resultados observados sugieren </w:t>
      </w:r>
      <w:r w:rsidR="00D14C38">
        <w:t>una</w:t>
      </w:r>
      <w:r w:rsidR="00C051E9">
        <w:t xml:space="preserve"> respuesta al UVC variedad-dependiente, y que los principales fenoles </w:t>
      </w:r>
      <w:commentRangeStart w:id="4"/>
      <w:proofErr w:type="spellStart"/>
      <w:r w:rsidR="00D14C38">
        <w:t>elicitados</w:t>
      </w:r>
      <w:commentRangeEnd w:id="4"/>
      <w:proofErr w:type="spellEnd"/>
      <w:r w:rsidR="003E0124">
        <w:rPr>
          <w:rStyle w:val="Refdecomentario"/>
        </w:rPr>
        <w:commentReference w:id="4"/>
      </w:r>
      <w:r w:rsidR="00D14C38">
        <w:t xml:space="preserve"> </w:t>
      </w:r>
      <w:r w:rsidR="00C051E9">
        <w:t>serían los ácidos fenólicos</w:t>
      </w:r>
      <w:r w:rsidR="008049D0">
        <w:t>.</w:t>
      </w:r>
      <w:r w:rsidR="00C051E9">
        <w:t xml:space="preserve"> </w:t>
      </w:r>
    </w:p>
    <w:p w14:paraId="48BE55F7" w14:textId="77777777" w:rsidR="00C051E9" w:rsidRDefault="00C051E9" w:rsidP="00C051E9">
      <w:pPr>
        <w:spacing w:after="0" w:line="240" w:lineRule="auto"/>
        <w:ind w:leftChars="0" w:left="0" w:firstLineChars="0" w:firstLine="0"/>
      </w:pPr>
    </w:p>
    <w:p w14:paraId="48F4AE03" w14:textId="77777777" w:rsidR="00C051E9" w:rsidRDefault="00C051E9" w:rsidP="00B57C52">
      <w:pPr>
        <w:spacing w:after="0" w:line="240" w:lineRule="auto"/>
        <w:ind w:left="0" w:hanging="2"/>
      </w:pPr>
    </w:p>
    <w:p w14:paraId="6DC4754A" w14:textId="77777777" w:rsidR="00FD29D4" w:rsidRDefault="001658F9" w:rsidP="00CF6195">
      <w:pPr>
        <w:spacing w:after="0" w:line="240" w:lineRule="auto"/>
        <w:ind w:leftChars="0" w:left="0" w:firstLineChars="0" w:firstLine="0"/>
      </w:pPr>
      <w:r>
        <w:t>Palabras Clave:</w:t>
      </w:r>
      <w:r w:rsidR="00EA26EE">
        <w:t xml:space="preserve"> estrés </w:t>
      </w:r>
      <w:proofErr w:type="spellStart"/>
      <w:r w:rsidR="00EA26EE">
        <w:t>poscosecha</w:t>
      </w:r>
      <w:proofErr w:type="spellEnd"/>
      <w:r w:rsidR="00B57C52">
        <w:t xml:space="preserve">, </w:t>
      </w:r>
      <w:r w:rsidR="00EA26EE">
        <w:t xml:space="preserve">capacidad antioxidante, </w:t>
      </w:r>
      <w:r w:rsidR="00C051E9">
        <w:t>fenoles</w:t>
      </w:r>
      <w:r w:rsidR="00EA26EE">
        <w:t xml:space="preserve"> totales</w:t>
      </w:r>
      <w:r w:rsidR="00C051E9">
        <w:t xml:space="preserve">, </w:t>
      </w:r>
      <w:r w:rsidR="00EA26EE">
        <w:t xml:space="preserve">ácidos </w:t>
      </w:r>
      <w:proofErr w:type="spellStart"/>
      <w:r w:rsidR="00EA26EE">
        <w:t>hidroxicinámicos</w:t>
      </w:r>
      <w:proofErr w:type="spellEnd"/>
      <w:r w:rsidR="00EA26EE">
        <w:t>, antocianinas</w:t>
      </w:r>
      <w:r w:rsidR="00CF6195">
        <w:t xml:space="preserve">. </w:t>
      </w:r>
    </w:p>
    <w:p w14:paraId="24D48DAC" w14:textId="77777777" w:rsidR="00FD29D4" w:rsidRDefault="00FD29D4">
      <w:pPr>
        <w:spacing w:after="0" w:line="240" w:lineRule="auto"/>
        <w:ind w:left="0" w:hanging="2"/>
      </w:pPr>
    </w:p>
    <w:p w14:paraId="094BC7A5" w14:textId="77777777" w:rsidR="00FD29D4" w:rsidRDefault="00FD29D4">
      <w:pPr>
        <w:spacing w:after="0" w:line="240" w:lineRule="auto"/>
        <w:ind w:left="0" w:hanging="2"/>
      </w:pPr>
    </w:p>
    <w:sectPr w:rsidR="00FD29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gustin Gonzalez" w:date="2022-07-21T15:55:00Z" w:initials="AG">
    <w:p w14:paraId="3F9E17EA" w14:textId="4A1D292F" w:rsidR="00133AF8" w:rsidRDefault="00133AF8">
      <w:pPr>
        <w:pStyle w:val="Textocomentario"/>
        <w:ind w:left="0" w:hanging="2"/>
      </w:pPr>
      <w:r>
        <w:rPr>
          <w:rStyle w:val="Refdecomentario"/>
        </w:rPr>
        <w:annotationRef/>
      </w:r>
      <w:r>
        <w:t>Eliminar dirección postal</w:t>
      </w:r>
    </w:p>
  </w:comment>
  <w:comment w:id="2" w:author="Usuario de Windows" w:date="2022-08-19T18:33:00Z" w:initials="UdW">
    <w:p w14:paraId="1B9C7E08" w14:textId="223784AD" w:rsidR="007A72E2" w:rsidRDefault="007A72E2" w:rsidP="007A72E2">
      <w:pPr>
        <w:pStyle w:val="Textocomentario"/>
        <w:ind w:left="0" w:hanging="2"/>
      </w:pPr>
      <w:r>
        <w:rPr>
          <w:rStyle w:val="Refdecomentario"/>
        </w:rPr>
        <w:annotationRef/>
      </w:r>
      <w:r>
        <w:t>¿?</w:t>
      </w:r>
    </w:p>
  </w:comment>
  <w:comment w:id="3" w:author="Usuario de Windows" w:date="2022-08-19T18:34:00Z" w:initials="UdW">
    <w:p w14:paraId="46E99E10" w14:textId="33DF33AF" w:rsidR="007A72E2" w:rsidRDefault="007A72E2" w:rsidP="007A72E2">
      <w:pPr>
        <w:pStyle w:val="Textocomentario"/>
        <w:ind w:left="0" w:hanging="2"/>
      </w:pPr>
      <w:r>
        <w:rPr>
          <w:rStyle w:val="Refdecomentario"/>
        </w:rPr>
        <w:annotationRef/>
      </w:r>
      <w:r>
        <w:t>¿?</w:t>
      </w:r>
    </w:p>
  </w:comment>
  <w:comment w:id="4" w:author="Agustin Gonzalez" w:date="2022-08-19T18:15:00Z" w:initials="AG">
    <w:p w14:paraId="62004DB4" w14:textId="1376C89D" w:rsidR="003E0124" w:rsidRDefault="003E0124" w:rsidP="008E313F">
      <w:pPr>
        <w:pStyle w:val="Textocomentario"/>
        <w:ind w:leftChars="0" w:left="0" w:firstLineChars="0" w:firstLine="0"/>
      </w:pPr>
      <w:r>
        <w:rPr>
          <w:rStyle w:val="Refdecomentario"/>
        </w:rPr>
        <w:annotationRef/>
      </w:r>
      <w:r>
        <w:t>?</w:t>
      </w:r>
      <w:r w:rsidR="008E313F">
        <w:t xml:space="preserve"> No se entiende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9E17EA" w15:done="0"/>
  <w15:commentEx w15:paraId="62004D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F55C" w16cex:dateUtc="2022-07-21T18:55:00Z"/>
  <w16cex:commentExtensible w16cex:durableId="2683F61A" w16cex:dateUtc="2022-07-21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9E17EA" w16cid:durableId="2683F55C"/>
  <w16cid:commentId w16cid:paraId="62004DB4" w16cid:durableId="2683F6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FCCD7" w14:textId="77777777" w:rsidR="00AB7896" w:rsidRDefault="00AB789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42FBB42" w14:textId="77777777" w:rsidR="00AB7896" w:rsidRDefault="00AB789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94F5D" w14:textId="77777777" w:rsidR="008E313F" w:rsidRDefault="008E313F" w:rsidP="008E313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AE782" w14:textId="77777777" w:rsidR="008E313F" w:rsidRDefault="008E313F" w:rsidP="008E313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96B82" w14:textId="77777777" w:rsidR="008E313F" w:rsidRDefault="008E313F" w:rsidP="008E313F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41787" w14:textId="77777777" w:rsidR="00AB7896" w:rsidRDefault="00AB789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05E19D" w14:textId="77777777" w:rsidR="00AB7896" w:rsidRDefault="00AB789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47A68" w14:textId="77777777" w:rsidR="008E313F" w:rsidRDefault="008E313F" w:rsidP="008E313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13A03" w14:textId="77777777" w:rsidR="00FD29D4" w:rsidRDefault="001658F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C036098" wp14:editId="789D6E2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E4073" w14:textId="77777777" w:rsidR="008E313F" w:rsidRDefault="008E313F" w:rsidP="008E313F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ustin Gonzalez">
    <w15:presenceInfo w15:providerId="Windows Live" w15:userId="3417880eb394ea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D4"/>
    <w:rsid w:val="00133AF8"/>
    <w:rsid w:val="001658F9"/>
    <w:rsid w:val="002161EE"/>
    <w:rsid w:val="003E0124"/>
    <w:rsid w:val="003F0C67"/>
    <w:rsid w:val="0046522A"/>
    <w:rsid w:val="00732967"/>
    <w:rsid w:val="007A72E2"/>
    <w:rsid w:val="007D0E00"/>
    <w:rsid w:val="008049D0"/>
    <w:rsid w:val="008B6001"/>
    <w:rsid w:val="008D56B4"/>
    <w:rsid w:val="008E313F"/>
    <w:rsid w:val="009618AF"/>
    <w:rsid w:val="00983EE4"/>
    <w:rsid w:val="009F17DD"/>
    <w:rsid w:val="009F4B0E"/>
    <w:rsid w:val="00A411DD"/>
    <w:rsid w:val="00A96F27"/>
    <w:rsid w:val="00AB7896"/>
    <w:rsid w:val="00B57C52"/>
    <w:rsid w:val="00BD4E3F"/>
    <w:rsid w:val="00C051E9"/>
    <w:rsid w:val="00C8261A"/>
    <w:rsid w:val="00CA24B5"/>
    <w:rsid w:val="00CF6195"/>
    <w:rsid w:val="00D14C38"/>
    <w:rsid w:val="00D22D08"/>
    <w:rsid w:val="00D27B6B"/>
    <w:rsid w:val="00EA26EE"/>
    <w:rsid w:val="00F0429B"/>
    <w:rsid w:val="00FD29D4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A7B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E33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3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339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3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39A"/>
    <w:rPr>
      <w:b/>
      <w:bCs/>
      <w:position w:val="-1"/>
      <w:sz w:val="20"/>
      <w:szCs w:val="2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24B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33AF8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E33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3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339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3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39A"/>
    <w:rPr>
      <w:b/>
      <w:bCs/>
      <w:position w:val="-1"/>
      <w:sz w:val="20"/>
      <w:szCs w:val="2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24B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33AF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aconcell@quimica.unlp.edu.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2022-08-19T21:34:00Z</dcterms:created>
  <dcterms:modified xsi:type="dcterms:W3CDTF">2022-08-19T21:34:00Z</dcterms:modified>
</cp:coreProperties>
</file>