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643C" w14:textId="38E990D6" w:rsidR="00D83C09" w:rsidRDefault="00D1648A" w:rsidP="00D1648A">
      <w:pPr>
        <w:pStyle w:val="Ttulo1"/>
        <w:spacing w:after="0" w:line="240" w:lineRule="auto"/>
        <w:ind w:left="0" w:hanging="2"/>
        <w:rPr>
          <w:b w:val="0"/>
          <w:color w:val="000000"/>
        </w:rPr>
      </w:pPr>
      <w:r>
        <w:rPr>
          <w:lang w:val="es-ES"/>
        </w:rPr>
        <w:t>Efecto de la molienda seca de alto impacto en el tamaño de partícula de la harina de quinoa</w:t>
      </w:r>
    </w:p>
    <w:p w14:paraId="466E1049" w14:textId="77777777" w:rsidR="00D83C09" w:rsidRDefault="00D83C09">
      <w:pPr>
        <w:spacing w:after="0" w:line="240" w:lineRule="auto"/>
        <w:ind w:left="0" w:hanging="2"/>
        <w:jc w:val="center"/>
      </w:pPr>
    </w:p>
    <w:p w14:paraId="0773AD18" w14:textId="0B1B737F" w:rsidR="00D83C09" w:rsidRDefault="00D1648A">
      <w:pPr>
        <w:spacing w:after="0" w:line="240" w:lineRule="auto"/>
        <w:ind w:left="0" w:hanging="2"/>
        <w:jc w:val="center"/>
      </w:pPr>
      <w:r>
        <w:t xml:space="preserve">Sánchez YG (1,2), </w:t>
      </w:r>
      <w:proofErr w:type="spellStart"/>
      <w:r>
        <w:t>Loubes</w:t>
      </w:r>
      <w:proofErr w:type="spellEnd"/>
      <w:r>
        <w:t xml:space="preserve"> MA (1,2), Tolaba MP (1,2)</w:t>
      </w:r>
    </w:p>
    <w:p w14:paraId="7BC42CC2" w14:textId="77777777" w:rsidR="00D83C09" w:rsidRDefault="00D83C09">
      <w:pPr>
        <w:spacing w:after="0" w:line="240" w:lineRule="auto"/>
        <w:ind w:left="0" w:hanging="2"/>
        <w:jc w:val="center"/>
      </w:pPr>
    </w:p>
    <w:p w14:paraId="67EACE47" w14:textId="77777777" w:rsidR="000B6C39" w:rsidRDefault="00080380" w:rsidP="000B6C39">
      <w:pPr>
        <w:spacing w:after="120" w:line="240" w:lineRule="auto"/>
        <w:ind w:left="0" w:hanging="2"/>
        <w:jc w:val="left"/>
      </w:pPr>
      <w:r>
        <w:t xml:space="preserve">(1) </w:t>
      </w:r>
      <w:r w:rsidR="000B6C39">
        <w:t>Universidad de Buenos Aires, Facultad de Ciencias Exactas y naturales, Departamento de Industrias, Buenos Aires, Argentina</w:t>
      </w:r>
    </w:p>
    <w:p w14:paraId="3306A9BF" w14:textId="77777777" w:rsidR="000B6C39" w:rsidRDefault="000B6C39" w:rsidP="000B6C39">
      <w:pPr>
        <w:spacing w:after="120" w:line="240" w:lineRule="auto"/>
        <w:ind w:left="0" w:hanging="2"/>
        <w:jc w:val="left"/>
      </w:pPr>
      <w:r>
        <w:t xml:space="preserve">(2) CONICET-Universidad de Buenos Aires. Instituto de Tecnología de Alimentos y Procesos Químicos (ITAPROQ). Buenos Aires, Argentina. </w:t>
      </w:r>
    </w:p>
    <w:p w14:paraId="4B6589ED" w14:textId="2B052C77" w:rsidR="00D83C09" w:rsidRDefault="00B21814" w:rsidP="000B6C39">
      <w:pPr>
        <w:spacing w:after="120" w:line="240" w:lineRule="auto"/>
        <w:ind w:left="0" w:hanging="2"/>
        <w:jc w:val="left"/>
        <w:rPr>
          <w:color w:val="000000"/>
        </w:rPr>
      </w:pPr>
      <w:r>
        <w:rPr>
          <w:color w:val="000000"/>
        </w:rPr>
        <w:t>mtolaba@di.fcen.uba.ar</w:t>
      </w:r>
      <w:r w:rsidR="00080380">
        <w:rPr>
          <w:color w:val="000000"/>
        </w:rPr>
        <w:tab/>
      </w:r>
    </w:p>
    <w:p w14:paraId="11692CAE" w14:textId="77777777" w:rsidR="00D83C09" w:rsidRDefault="00D83C09">
      <w:pPr>
        <w:spacing w:after="0" w:line="240" w:lineRule="auto"/>
        <w:ind w:left="0" w:hanging="2"/>
      </w:pPr>
    </w:p>
    <w:p w14:paraId="0BC11495" w14:textId="11AD84B6" w:rsidR="004309CD" w:rsidRDefault="00D1648A" w:rsidP="0026046C">
      <w:pPr>
        <w:ind w:left="0" w:hanging="2"/>
      </w:pPr>
      <w:r>
        <w:rPr>
          <w:lang w:val="es-ES"/>
        </w:rPr>
        <w:t xml:space="preserve">La quinoa es un pseudocereal reconocido por su excelente calidad nutricional, el cual es cultivado en la provincia de Jujuy, donde el INTA ha seleccionado variedades locales para su promoción. El tipo de molino utilizado y las condiciones de molienda determinan la granulometría de la harina y sus posibles aplicaciones en la elaboración de pastas o panificados. El objetivo del trabajo fue determinar, aplicando el método </w:t>
      </w:r>
      <w:r w:rsidR="00FE18BB">
        <w:rPr>
          <w:lang w:val="es-ES"/>
        </w:rPr>
        <w:t>de superficies de respuesta (</w:t>
      </w:r>
      <w:r>
        <w:rPr>
          <w:lang w:val="es-ES"/>
        </w:rPr>
        <w:t>MSR</w:t>
      </w:r>
      <w:r w:rsidR="00FE18BB">
        <w:rPr>
          <w:lang w:val="es-ES"/>
        </w:rPr>
        <w:t>)</w:t>
      </w:r>
      <w:r>
        <w:rPr>
          <w:lang w:val="es-ES"/>
        </w:rPr>
        <w:t xml:space="preserve"> y un diseño </w:t>
      </w:r>
      <w:r w:rsidR="00FE18BB">
        <w:rPr>
          <w:lang w:val="es-ES"/>
        </w:rPr>
        <w:t xml:space="preserve">experimental </w:t>
      </w:r>
      <w:r>
        <w:rPr>
          <w:lang w:val="es-ES"/>
        </w:rPr>
        <w:t xml:space="preserve">en red de </w:t>
      </w:r>
      <w:proofErr w:type="spellStart"/>
      <w:r>
        <w:rPr>
          <w:lang w:val="es-ES"/>
        </w:rPr>
        <w:t>Doehlert</w:t>
      </w:r>
      <w:proofErr w:type="spellEnd"/>
      <w:r>
        <w:rPr>
          <w:lang w:val="es-ES"/>
        </w:rPr>
        <w:t>, el efecto de dos factores: velocidad de rotación (250 – 450 rpm) y tiempo de molienda (10 – 50 min) en la distribución de tamaño de partícula (DTP) de la harina. Se empleó un molino planetario de bolas de</w:t>
      </w:r>
      <w:r w:rsidRPr="00FF4CF1">
        <w:t xml:space="preserve"> </w:t>
      </w:r>
      <w:r w:rsidRPr="000D6F0A">
        <w:t xml:space="preserve">alto impacto (PM100, </w:t>
      </w:r>
      <w:proofErr w:type="spellStart"/>
      <w:r w:rsidRPr="000D6F0A">
        <w:t>Retsch</w:t>
      </w:r>
      <w:proofErr w:type="spellEnd"/>
      <w:r w:rsidRPr="000D6F0A">
        <w:t xml:space="preserve"> Co., </w:t>
      </w:r>
      <w:proofErr w:type="spellStart"/>
      <w:r w:rsidRPr="000D6F0A">
        <w:t>Germany</w:t>
      </w:r>
      <w:proofErr w:type="spellEnd"/>
      <w:r w:rsidRPr="00FF4CF1">
        <w:t>)</w:t>
      </w:r>
      <w:r>
        <w:t xml:space="preserve"> con </w:t>
      </w:r>
      <w:r w:rsidRPr="000D6F0A">
        <w:t xml:space="preserve">una </w:t>
      </w:r>
      <w:r>
        <w:t xml:space="preserve">proporción bolas/quinoa de 5:1. </w:t>
      </w:r>
      <w:r>
        <w:rPr>
          <w:lang w:val="es-ES"/>
        </w:rPr>
        <w:t xml:space="preserve">Como control se utilizó harina obtenida en un molino de cuchillas. </w:t>
      </w:r>
      <w:r>
        <w:t>La DTP</w:t>
      </w:r>
      <w:r>
        <w:rPr>
          <w:lang w:val="es-ES"/>
        </w:rPr>
        <w:t xml:space="preserve"> se determinó por tamizado</w:t>
      </w:r>
      <w:r w:rsidR="0011345B">
        <w:rPr>
          <w:lang w:val="es-ES"/>
        </w:rPr>
        <w:t>,</w:t>
      </w:r>
      <w:r w:rsidR="0026046C">
        <w:rPr>
          <w:lang w:val="es-ES"/>
        </w:rPr>
        <w:t xml:space="preserve"> usando una serie de </w:t>
      </w:r>
      <w:r w:rsidR="0011345B">
        <w:rPr>
          <w:lang w:val="es-ES"/>
        </w:rPr>
        <w:t>zarandas</w:t>
      </w:r>
      <w:r w:rsidR="0026046C">
        <w:rPr>
          <w:lang w:val="es-ES"/>
        </w:rPr>
        <w:t xml:space="preserve"> (105-710 </w:t>
      </w:r>
      <w:r w:rsidR="0026046C" w:rsidRPr="002F5160">
        <w:rPr>
          <w:rFonts w:ascii="Symbol" w:hAnsi="Symbol"/>
          <w:lang w:val="es-ES"/>
        </w:rPr>
        <w:t></w:t>
      </w:r>
      <w:r w:rsidR="0026046C">
        <w:rPr>
          <w:lang w:val="es-ES"/>
        </w:rPr>
        <w:t>m)</w:t>
      </w:r>
      <w:r w:rsidR="0011345B">
        <w:rPr>
          <w:lang w:val="es-ES"/>
        </w:rPr>
        <w:t>,</w:t>
      </w:r>
      <w:r>
        <w:rPr>
          <w:lang w:val="es-ES"/>
        </w:rPr>
        <w:t xml:space="preserve"> y por difracción láser </w:t>
      </w:r>
      <w:r w:rsidR="00195B98">
        <w:rPr>
          <w:lang w:val="es-ES"/>
        </w:rPr>
        <w:t xml:space="preserve">(0,1-1000 </w:t>
      </w:r>
      <w:r w:rsidR="00195B98" w:rsidRPr="00195B98">
        <w:rPr>
          <w:rFonts w:ascii="Symbol" w:hAnsi="Symbol"/>
          <w:lang w:val="es-ES"/>
        </w:rPr>
        <w:t></w:t>
      </w:r>
      <w:r w:rsidR="00195B98">
        <w:rPr>
          <w:lang w:val="es-ES"/>
        </w:rPr>
        <w:t>m)</w:t>
      </w:r>
      <w:r w:rsidR="002F5160">
        <w:rPr>
          <w:lang w:val="es-ES"/>
        </w:rPr>
        <w:t>.</w:t>
      </w:r>
      <w:r w:rsidRPr="0026046C">
        <w:rPr>
          <w:lang w:val="es-ES"/>
        </w:rPr>
        <w:t xml:space="preserve"> </w:t>
      </w:r>
      <w:r>
        <w:rPr>
          <w:lang w:val="es-ES"/>
        </w:rPr>
        <w:t xml:space="preserve">Se obtuvieron los parámetros característicos D50 (mediana) y </w:t>
      </w:r>
      <w:proofErr w:type="spellStart"/>
      <w:r w:rsidRPr="0037685C">
        <w:rPr>
          <w:i/>
          <w:iCs/>
          <w:lang w:val="es-ES"/>
        </w:rPr>
        <w:t>Span</w:t>
      </w:r>
      <w:proofErr w:type="spellEnd"/>
      <w:r>
        <w:rPr>
          <w:lang w:val="es-ES"/>
        </w:rPr>
        <w:t xml:space="preserve"> (índice de dispersión), y también los valores de D43 (diámetro medio) y del área superficial específica (AE) </w:t>
      </w:r>
      <w:r w:rsidR="005D59FC">
        <w:rPr>
          <w:lang w:val="es-ES"/>
        </w:rPr>
        <w:t>para</w:t>
      </w:r>
      <w:r>
        <w:rPr>
          <w:lang w:val="es-ES"/>
        </w:rPr>
        <w:t xml:space="preserve"> el </w:t>
      </w:r>
      <w:r w:rsidR="005D59FC">
        <w:rPr>
          <w:lang w:val="es-ES"/>
        </w:rPr>
        <w:t>análisis</w:t>
      </w:r>
      <w:r>
        <w:rPr>
          <w:lang w:val="es-ES"/>
        </w:rPr>
        <w:t xml:space="preserve"> de </w:t>
      </w:r>
      <w:r w:rsidR="00FE18BB">
        <w:rPr>
          <w:lang w:val="es-ES"/>
        </w:rPr>
        <w:t>difracción láser</w:t>
      </w:r>
      <w:r>
        <w:rPr>
          <w:lang w:val="es-ES"/>
        </w:rPr>
        <w:t>.</w:t>
      </w:r>
      <w:r w:rsidRPr="00777CB7">
        <w:rPr>
          <w:lang w:val="es-ES"/>
        </w:rPr>
        <w:t xml:space="preserve"> </w:t>
      </w:r>
      <w:r w:rsidR="00FE18BB">
        <w:rPr>
          <w:lang w:val="es-ES"/>
        </w:rPr>
        <w:t>En todos los casos las distribuciones de tamaño de partícula fueron poli-dispersas. El análisis MSR de los registros obtenidos m</w:t>
      </w:r>
      <w:r>
        <w:rPr>
          <w:lang w:val="es-ES"/>
        </w:rPr>
        <w:t xml:space="preserve">ediante </w:t>
      </w:r>
      <w:r w:rsidR="00FE18BB">
        <w:rPr>
          <w:lang w:val="es-ES"/>
        </w:rPr>
        <w:t>difracción láser</w:t>
      </w:r>
      <w:r>
        <w:rPr>
          <w:lang w:val="es-ES"/>
        </w:rPr>
        <w:t xml:space="preserve"> </w:t>
      </w:r>
      <w:r w:rsidR="00FE18BB">
        <w:rPr>
          <w:lang w:val="es-ES"/>
        </w:rPr>
        <w:t xml:space="preserve">permitió observar </w:t>
      </w:r>
      <w:r>
        <w:rPr>
          <w:lang w:val="es-ES"/>
        </w:rPr>
        <w:t>el efecto lineal y negativo de la velocidad y el efecto cuadrático del tiempo sobre D50 y D43. Por tamizado se de</w:t>
      </w:r>
      <w:r w:rsidR="0037685C">
        <w:rPr>
          <w:lang w:val="es-ES"/>
        </w:rPr>
        <w:t xml:space="preserve">tectaron efectos significativos </w:t>
      </w:r>
      <w:bookmarkStart w:id="0" w:name="_GoBack"/>
      <w:bookmarkEnd w:id="0"/>
      <w:r>
        <w:rPr>
          <w:lang w:val="es-ES"/>
        </w:rPr>
        <w:t xml:space="preserve">(lineales y cuadráticos) de los factores estudiados sobre </w:t>
      </w:r>
      <w:r w:rsidR="0011345B">
        <w:rPr>
          <w:lang w:val="es-ES"/>
        </w:rPr>
        <w:t>la mediana de la distribución de tamaño</w:t>
      </w:r>
      <w:r>
        <w:rPr>
          <w:lang w:val="es-ES"/>
        </w:rPr>
        <w:t xml:space="preserve">. Debido a la </w:t>
      </w:r>
      <w:r>
        <w:t>apreciable</w:t>
      </w:r>
      <w:r>
        <w:rPr>
          <w:lang w:val="es-ES"/>
        </w:rPr>
        <w:t xml:space="preserve"> interacción velocidad-tiempo</w:t>
      </w:r>
      <w:r>
        <w:t xml:space="preserve">, </w:t>
      </w:r>
      <w:r w:rsidRPr="00486C73">
        <w:t>el aumento del tiempo produ</w:t>
      </w:r>
      <w:r>
        <w:t>jo a 250 rpm la</w:t>
      </w:r>
      <w:r w:rsidRPr="00486C73">
        <w:t xml:space="preserve"> reducción de </w:t>
      </w:r>
      <w:r>
        <w:t>D50</w:t>
      </w:r>
      <w:r w:rsidRPr="00486C73">
        <w:t xml:space="preserve">. Sin embargo, a </w:t>
      </w:r>
      <w:r>
        <w:t>450 rpm</w:t>
      </w:r>
      <w:r w:rsidRPr="00486C73">
        <w:t xml:space="preserve"> </w:t>
      </w:r>
      <w:r>
        <w:t xml:space="preserve">la mediana se incrementó con </w:t>
      </w:r>
      <w:r w:rsidRPr="00486C73">
        <w:t>el tiempo de molienda</w:t>
      </w:r>
      <w:r>
        <w:t xml:space="preserve"> </w:t>
      </w:r>
      <w:r w:rsidRPr="00486C73">
        <w:t>(aglomeración)</w:t>
      </w:r>
      <w:r>
        <w:t>. La reducción en los valores de AE (0,3-0,2 m</w:t>
      </w:r>
      <w:r w:rsidRPr="00F709B8">
        <w:rPr>
          <w:vertAlign w:val="superscript"/>
        </w:rPr>
        <w:t>2</w:t>
      </w:r>
      <w:r>
        <w:t>/g) al incrementar la velocidad entre 250 y 450 rpm también denot</w:t>
      </w:r>
      <w:r w:rsidR="00FE18BB">
        <w:t>ó</w:t>
      </w:r>
      <w:r>
        <w:t xml:space="preserve"> la aglomeración de las partículas. Por </w:t>
      </w:r>
      <w:r w:rsidR="00FE18BB">
        <w:t>difracción láser</w:t>
      </w:r>
      <w:r>
        <w:t xml:space="preserve">, el D50 mínimo (81 </w:t>
      </w:r>
      <w:r w:rsidRPr="002F5160">
        <w:rPr>
          <w:rFonts w:ascii="Symbol" w:hAnsi="Symbol"/>
        </w:rPr>
        <w:t></w:t>
      </w:r>
      <w:r>
        <w:t>m) se obtuvo a 450 rpm</w:t>
      </w:r>
      <w:r w:rsidR="005D59FC">
        <w:t xml:space="preserve"> - </w:t>
      </w:r>
      <w:r>
        <w:t xml:space="preserve">32 min y </w:t>
      </w:r>
      <w:r w:rsidR="0011345B">
        <w:t>resultó significativamente inferior</w:t>
      </w:r>
      <w:r>
        <w:t xml:space="preserve"> al </w:t>
      </w:r>
      <w:r w:rsidR="00FE18BB">
        <w:t xml:space="preserve">valor </w:t>
      </w:r>
      <w:r w:rsidR="00720702">
        <w:t>d</w:t>
      </w:r>
      <w:r w:rsidR="00FE18BB">
        <w:t xml:space="preserve">el </w:t>
      </w:r>
      <w:r>
        <w:t xml:space="preserve">control (D50= 216 </w:t>
      </w:r>
      <w:r w:rsidRPr="002F5160">
        <w:rPr>
          <w:rFonts w:ascii="Symbol" w:hAnsi="Symbol"/>
        </w:rPr>
        <w:t></w:t>
      </w:r>
      <w:r>
        <w:t>m)</w:t>
      </w:r>
      <w:r w:rsidR="001545BD">
        <w:t xml:space="preserve">. Para estas condiciones de molienda la DTP presentó </w:t>
      </w:r>
      <w:r w:rsidR="00E22198">
        <w:t xml:space="preserve">un </w:t>
      </w:r>
      <w:r w:rsidR="001545BD">
        <w:t>valor</w:t>
      </w:r>
      <w:r w:rsidR="005D59FC">
        <w:t xml:space="preserve"> de </w:t>
      </w:r>
      <w:proofErr w:type="spellStart"/>
      <w:r w:rsidR="005D59FC" w:rsidRPr="0037685C">
        <w:rPr>
          <w:i/>
          <w:iCs/>
        </w:rPr>
        <w:t>Span</w:t>
      </w:r>
      <w:proofErr w:type="spellEnd"/>
      <w:r w:rsidR="005D59FC">
        <w:t xml:space="preserve"> 1,8 veces el valor del</w:t>
      </w:r>
      <w:r w:rsidR="001545BD" w:rsidRPr="00401EA3">
        <w:rPr>
          <w:color w:val="FF0000"/>
        </w:rPr>
        <w:t xml:space="preserve"> </w:t>
      </w:r>
      <w:r w:rsidR="001545BD">
        <w:t xml:space="preserve">control. </w:t>
      </w:r>
      <w:r w:rsidR="00720702">
        <w:t xml:space="preserve">Ambos </w:t>
      </w:r>
      <w:r>
        <w:rPr>
          <w:lang w:val="es-ES"/>
        </w:rPr>
        <w:t>métodos usados para determinar el tamaño de partícula evidenciaron que el aumento excesivo de la velocidad de rotación o del tiempo de molienda provoc</w:t>
      </w:r>
      <w:r w:rsidR="005D59FC">
        <w:rPr>
          <w:lang w:val="es-ES"/>
        </w:rPr>
        <w:t>ó</w:t>
      </w:r>
      <w:r>
        <w:rPr>
          <w:lang w:val="es-ES"/>
        </w:rPr>
        <w:t xml:space="preserve"> la aglomeración de las partículas. Este fenómeno limita las posibilidades de obtener, por molienda seca de alto impacto, harina de fina </w:t>
      </w:r>
      <w:r>
        <w:rPr>
          <w:lang w:val="es-ES"/>
        </w:rPr>
        <w:lastRenderedPageBreak/>
        <w:t xml:space="preserve">granulometría y bajo </w:t>
      </w:r>
      <w:proofErr w:type="spellStart"/>
      <w:r>
        <w:rPr>
          <w:lang w:val="es-ES"/>
        </w:rPr>
        <w:t>Span</w:t>
      </w:r>
      <w:proofErr w:type="spellEnd"/>
      <w:r w:rsidR="00C6405A">
        <w:rPr>
          <w:lang w:val="es-ES"/>
        </w:rPr>
        <w:t>,</w:t>
      </w:r>
      <w:r>
        <w:rPr>
          <w:lang w:val="es-ES"/>
        </w:rPr>
        <w:t xml:space="preserve"> como la requerida para </w:t>
      </w:r>
      <w:r w:rsidR="00C04913">
        <w:rPr>
          <w:lang w:val="es-ES"/>
        </w:rPr>
        <w:t>su incorporación</w:t>
      </w:r>
      <w:r>
        <w:rPr>
          <w:lang w:val="es-ES"/>
        </w:rPr>
        <w:t xml:space="preserve"> </w:t>
      </w:r>
      <w:r w:rsidR="00C04913">
        <w:rPr>
          <w:lang w:val="es-ES"/>
        </w:rPr>
        <w:t>en</w:t>
      </w:r>
      <w:r>
        <w:rPr>
          <w:lang w:val="es-ES"/>
        </w:rPr>
        <w:t xml:space="preserve"> pastas.</w:t>
      </w:r>
      <w:r w:rsidR="005D59FC">
        <w:rPr>
          <w:lang w:val="es-ES"/>
        </w:rPr>
        <w:t xml:space="preserve"> </w:t>
      </w:r>
      <w:r w:rsidR="005D59FC" w:rsidRPr="005D59FC">
        <w:rPr>
          <w:lang w:val="es-ES"/>
        </w:rPr>
        <w:t>Sin embargo, el alto grado de heterogeneidad en estas harinas favorece</w:t>
      </w:r>
      <w:r w:rsidR="00C04913">
        <w:rPr>
          <w:lang w:val="es-ES"/>
        </w:rPr>
        <w:t>ría</w:t>
      </w:r>
      <w:r w:rsidR="005D59FC" w:rsidRPr="005D59FC">
        <w:rPr>
          <w:lang w:val="es-ES"/>
        </w:rPr>
        <w:t xml:space="preserve"> la obtención de pan con buen volumen y alveolado de calidad, por tal motivo, las harinas producidas en el molino planetario son especialmente aptas para la elaboración de panificados.</w:t>
      </w:r>
    </w:p>
    <w:p w14:paraId="57E5C29B" w14:textId="77777777" w:rsidR="00D83C09" w:rsidRDefault="00D83C09" w:rsidP="00B55A49">
      <w:pPr>
        <w:spacing w:after="0" w:line="240" w:lineRule="auto"/>
        <w:ind w:leftChars="0" w:left="0" w:firstLineChars="0" w:firstLine="0"/>
      </w:pPr>
    </w:p>
    <w:p w14:paraId="3F4DEB19" w14:textId="53C3EBB2" w:rsidR="00D83C09" w:rsidRDefault="00080380" w:rsidP="00D1648A">
      <w:pPr>
        <w:spacing w:after="0" w:line="240" w:lineRule="auto"/>
        <w:ind w:left="0" w:hanging="2"/>
      </w:pPr>
      <w:r>
        <w:t xml:space="preserve">Palabras Clave: </w:t>
      </w:r>
      <w:r w:rsidR="00D1648A">
        <w:t xml:space="preserve">pseudocereal, granulometría, tamizado, difracción láser, molino planetario. </w:t>
      </w:r>
    </w:p>
    <w:p w14:paraId="1E35EBB9" w14:textId="2A4A5EF7" w:rsidR="00C6405A" w:rsidRDefault="00C6405A" w:rsidP="00D1648A">
      <w:pPr>
        <w:spacing w:after="0" w:line="240" w:lineRule="auto"/>
        <w:ind w:left="0" w:hanging="2"/>
      </w:pPr>
    </w:p>
    <w:p w14:paraId="1F33D569" w14:textId="206A8EA1" w:rsidR="00EA3543" w:rsidRDefault="005D59FC" w:rsidP="005D59FC">
      <w:pPr>
        <w:spacing w:after="0" w:line="240" w:lineRule="auto"/>
        <w:ind w:left="0" w:hanging="2"/>
      </w:pPr>
      <w:r>
        <w:t>Agradecimientos: A la Universidad de Buenos Aires (UBACYT 20020170100367BA), Agencia Nacional de Promoción Científica y Tecnológica (PME-2006-01685, PICT-2018-01619) y Consejo Nacional de Investigaciones Científicas y Técnicas de Argentina.</w:t>
      </w:r>
    </w:p>
    <w:sectPr w:rsidR="00EA3543">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F5C7" w14:textId="77777777" w:rsidR="00D30854" w:rsidRDefault="00D30854">
      <w:pPr>
        <w:spacing w:after="0" w:line="240" w:lineRule="auto"/>
        <w:ind w:left="0" w:hanging="2"/>
      </w:pPr>
      <w:r>
        <w:separator/>
      </w:r>
    </w:p>
  </w:endnote>
  <w:endnote w:type="continuationSeparator" w:id="0">
    <w:p w14:paraId="19A07FAA" w14:textId="77777777" w:rsidR="00D30854" w:rsidRDefault="00D308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9C384" w14:textId="77777777" w:rsidR="00D30854" w:rsidRDefault="00D30854">
      <w:pPr>
        <w:spacing w:after="0" w:line="240" w:lineRule="auto"/>
        <w:ind w:left="0" w:hanging="2"/>
      </w:pPr>
      <w:r>
        <w:separator/>
      </w:r>
    </w:p>
  </w:footnote>
  <w:footnote w:type="continuationSeparator" w:id="0">
    <w:p w14:paraId="6B780F62" w14:textId="77777777" w:rsidR="00D30854" w:rsidRDefault="00D3085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02F7" w14:textId="77777777" w:rsidR="00D83C09" w:rsidRDefault="000803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8818F28" wp14:editId="6D5DB5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09"/>
    <w:rsid w:val="000127A2"/>
    <w:rsid w:val="00016330"/>
    <w:rsid w:val="00050ED5"/>
    <w:rsid w:val="00080380"/>
    <w:rsid w:val="00095928"/>
    <w:rsid w:val="00096BBC"/>
    <w:rsid w:val="000A03A1"/>
    <w:rsid w:val="000B6C39"/>
    <w:rsid w:val="000E1C3F"/>
    <w:rsid w:val="000F5BFD"/>
    <w:rsid w:val="000F6A02"/>
    <w:rsid w:val="00101A32"/>
    <w:rsid w:val="0011345B"/>
    <w:rsid w:val="00120522"/>
    <w:rsid w:val="0012798E"/>
    <w:rsid w:val="00130F6B"/>
    <w:rsid w:val="00132C62"/>
    <w:rsid w:val="001545BD"/>
    <w:rsid w:val="00193901"/>
    <w:rsid w:val="00195B98"/>
    <w:rsid w:val="001B46BD"/>
    <w:rsid w:val="001D25E4"/>
    <w:rsid w:val="001E0FBB"/>
    <w:rsid w:val="00224CB4"/>
    <w:rsid w:val="002524FE"/>
    <w:rsid w:val="0026046C"/>
    <w:rsid w:val="002F5160"/>
    <w:rsid w:val="003158BE"/>
    <w:rsid w:val="0032538E"/>
    <w:rsid w:val="00347A4B"/>
    <w:rsid w:val="00347F47"/>
    <w:rsid w:val="00355D90"/>
    <w:rsid w:val="0037685C"/>
    <w:rsid w:val="00376E0B"/>
    <w:rsid w:val="00401EA3"/>
    <w:rsid w:val="0043040B"/>
    <w:rsid w:val="004309CD"/>
    <w:rsid w:val="004468CA"/>
    <w:rsid w:val="004A4C84"/>
    <w:rsid w:val="005D237C"/>
    <w:rsid w:val="005D59FC"/>
    <w:rsid w:val="005D7FC7"/>
    <w:rsid w:val="006535AB"/>
    <w:rsid w:val="006A16B3"/>
    <w:rsid w:val="006D5C4F"/>
    <w:rsid w:val="006E6159"/>
    <w:rsid w:val="00706A80"/>
    <w:rsid w:val="00714C90"/>
    <w:rsid w:val="00720702"/>
    <w:rsid w:val="007E3418"/>
    <w:rsid w:val="007F41DB"/>
    <w:rsid w:val="00850B4F"/>
    <w:rsid w:val="008C193D"/>
    <w:rsid w:val="0094024A"/>
    <w:rsid w:val="00956961"/>
    <w:rsid w:val="0096339B"/>
    <w:rsid w:val="00984856"/>
    <w:rsid w:val="00990A1A"/>
    <w:rsid w:val="009A650E"/>
    <w:rsid w:val="009C2A34"/>
    <w:rsid w:val="00A153EA"/>
    <w:rsid w:val="00A40DEB"/>
    <w:rsid w:val="00A65A2B"/>
    <w:rsid w:val="00A9210F"/>
    <w:rsid w:val="00AD027F"/>
    <w:rsid w:val="00B1004B"/>
    <w:rsid w:val="00B21814"/>
    <w:rsid w:val="00B55A49"/>
    <w:rsid w:val="00B82262"/>
    <w:rsid w:val="00BA09F6"/>
    <w:rsid w:val="00BA6790"/>
    <w:rsid w:val="00C04913"/>
    <w:rsid w:val="00C44B04"/>
    <w:rsid w:val="00C50F53"/>
    <w:rsid w:val="00C6405A"/>
    <w:rsid w:val="00C7092B"/>
    <w:rsid w:val="00CA3AA2"/>
    <w:rsid w:val="00CA61F1"/>
    <w:rsid w:val="00CB18CD"/>
    <w:rsid w:val="00CF3846"/>
    <w:rsid w:val="00D1648A"/>
    <w:rsid w:val="00D30854"/>
    <w:rsid w:val="00D33C60"/>
    <w:rsid w:val="00D83C09"/>
    <w:rsid w:val="00DD1037"/>
    <w:rsid w:val="00DF2B24"/>
    <w:rsid w:val="00DF7273"/>
    <w:rsid w:val="00E22198"/>
    <w:rsid w:val="00E63263"/>
    <w:rsid w:val="00E86F5F"/>
    <w:rsid w:val="00EA3543"/>
    <w:rsid w:val="00F00D9B"/>
    <w:rsid w:val="00F15AB0"/>
    <w:rsid w:val="00F4018E"/>
    <w:rsid w:val="00F41661"/>
    <w:rsid w:val="00FE18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19B"/>
  <w15:docId w15:val="{48BEF2FD-85DD-45CC-A7D4-E6441B1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50B4F"/>
    <w:rPr>
      <w:sz w:val="16"/>
      <w:szCs w:val="16"/>
    </w:rPr>
  </w:style>
  <w:style w:type="paragraph" w:styleId="Textocomentario">
    <w:name w:val="annotation text"/>
    <w:basedOn w:val="Normal"/>
    <w:link w:val="TextocomentarioCar"/>
    <w:uiPriority w:val="99"/>
    <w:unhideWhenUsed/>
    <w:rsid w:val="00850B4F"/>
    <w:pPr>
      <w:spacing w:line="240" w:lineRule="auto"/>
    </w:pPr>
    <w:rPr>
      <w:sz w:val="20"/>
      <w:szCs w:val="20"/>
    </w:rPr>
  </w:style>
  <w:style w:type="character" w:customStyle="1" w:styleId="TextocomentarioCar">
    <w:name w:val="Texto comentario Car"/>
    <w:basedOn w:val="Fuentedeprrafopredeter"/>
    <w:link w:val="Textocomentario"/>
    <w:uiPriority w:val="99"/>
    <w:rsid w:val="00850B4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50B4F"/>
    <w:rPr>
      <w:b/>
      <w:bCs/>
    </w:rPr>
  </w:style>
  <w:style w:type="character" w:customStyle="1" w:styleId="AsuntodelcomentarioCar">
    <w:name w:val="Asunto del comentario Car"/>
    <w:basedOn w:val="TextocomentarioCar"/>
    <w:link w:val="Asuntodelcomentario"/>
    <w:uiPriority w:val="99"/>
    <w:semiHidden/>
    <w:rsid w:val="00850B4F"/>
    <w:rPr>
      <w:b/>
      <w:bCs/>
      <w:position w:val="-1"/>
      <w:sz w:val="20"/>
      <w:szCs w:val="20"/>
      <w:lang w:eastAsia="en-US"/>
    </w:rPr>
  </w:style>
  <w:style w:type="paragraph" w:styleId="Revisin">
    <w:name w:val="Revision"/>
    <w:hidden/>
    <w:uiPriority w:val="99"/>
    <w:semiHidden/>
    <w:rsid w:val="001D25E4"/>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E5CA8A-49B3-46D5-9EDE-81A430E7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Marcela Tolaba</cp:lastModifiedBy>
  <cp:revision>2</cp:revision>
  <dcterms:created xsi:type="dcterms:W3CDTF">2022-08-05T20:25:00Z</dcterms:created>
  <dcterms:modified xsi:type="dcterms:W3CDTF">2022-08-05T20:25:00Z</dcterms:modified>
</cp:coreProperties>
</file>