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11F1" w:rsidRDefault="00000000">
      <w:pPr>
        <w:spacing w:after="0" w:line="240" w:lineRule="auto"/>
        <w:ind w:left="0" w:hanging="2"/>
        <w:jc w:val="center"/>
      </w:pPr>
      <w:r>
        <w:rPr>
          <w:b/>
        </w:rPr>
        <w:t xml:space="preserve"> </w:t>
      </w:r>
      <w:sdt>
        <w:sdtPr>
          <w:tag w:val="goog_rdk_0"/>
          <w:id w:val="295653680"/>
        </w:sdtPr>
        <w:sdtContent>
          <w:commentRangeStart w:id="0"/>
        </w:sdtContent>
      </w:sdt>
      <w:r>
        <w:rPr>
          <w:b/>
          <w:color w:val="000000"/>
        </w:rPr>
        <w:t xml:space="preserve">Evaluación de la calidad microbiológica y fisicoquímica de un jugo </w:t>
      </w:r>
      <w:proofErr w:type="spellStart"/>
      <w:r>
        <w:rPr>
          <w:b/>
          <w:color w:val="000000"/>
        </w:rPr>
        <w:t>blend</w:t>
      </w:r>
      <w:proofErr w:type="spellEnd"/>
      <w:r>
        <w:rPr>
          <w:b/>
          <w:color w:val="000000"/>
        </w:rPr>
        <w:t xml:space="preserve"> naranja-mandarina procesado a escala piloto por luz ultravioleta de onda corta (UV-C) asistida.</w:t>
      </w:r>
      <w:commentRangeEnd w:id="0"/>
      <w:r>
        <w:commentReference w:id="0"/>
      </w:r>
    </w:p>
    <w:p w14:paraId="00000002" w14:textId="77777777" w:rsidR="001D11F1" w:rsidRDefault="001D11F1">
      <w:pPr>
        <w:spacing w:after="0" w:line="240" w:lineRule="auto"/>
        <w:ind w:left="0" w:hanging="2"/>
        <w:jc w:val="center"/>
      </w:pPr>
    </w:p>
    <w:p w14:paraId="00000003" w14:textId="77777777" w:rsidR="001D11F1" w:rsidRDefault="00000000">
      <w:pPr>
        <w:spacing w:line="240" w:lineRule="auto"/>
        <w:ind w:left="0" w:hanging="2"/>
        <w:jc w:val="center"/>
      </w:pPr>
      <w:proofErr w:type="spellStart"/>
      <w:r>
        <w:t>Fenoglio</w:t>
      </w:r>
      <w:proofErr w:type="spellEnd"/>
      <w:r>
        <w:t xml:space="preserve"> D</w:t>
      </w:r>
      <w:r>
        <w:rPr>
          <w:vertAlign w:val="superscript"/>
        </w:rPr>
        <w:t xml:space="preserve"> </w:t>
      </w:r>
      <w:r>
        <w:t xml:space="preserve">(1,2,3), </w:t>
      </w:r>
      <w:proofErr w:type="spellStart"/>
      <w:r>
        <w:t>Kozono</w:t>
      </w:r>
      <w:proofErr w:type="spellEnd"/>
      <w:r>
        <w:t xml:space="preserve"> ML</w:t>
      </w:r>
      <w:r>
        <w:rPr>
          <w:vertAlign w:val="superscript"/>
        </w:rPr>
        <w:t xml:space="preserve"> </w:t>
      </w:r>
      <w:r>
        <w:t xml:space="preserve">(1,2,4), </w:t>
      </w:r>
      <w:proofErr w:type="spellStart"/>
      <w:r>
        <w:t>Ferrario</w:t>
      </w:r>
      <w:proofErr w:type="spellEnd"/>
      <w:r>
        <w:t xml:space="preserve"> M (1,2), Guerrero S (1,2) </w:t>
      </w:r>
    </w:p>
    <w:p w14:paraId="00000004" w14:textId="77777777" w:rsidR="001D11F1" w:rsidRDefault="00000000">
      <w:pPr>
        <w:shd w:val="clear" w:color="auto" w:fill="FFFFFF"/>
        <w:spacing w:line="240" w:lineRule="auto"/>
        <w:ind w:left="0" w:right="44" w:hanging="2"/>
        <w:rPr>
          <w:color w:val="000000"/>
        </w:rPr>
      </w:pPr>
      <w:r>
        <w:t>(1)</w:t>
      </w:r>
      <w:r>
        <w:rPr>
          <w:vertAlign w:val="superscript"/>
        </w:rPr>
        <w:t xml:space="preserve"> </w:t>
      </w:r>
      <w:r>
        <w:rPr>
          <w:color w:val="000000"/>
        </w:rPr>
        <w:t>Universidad de Buenos Aires. Facultad de Ciencias Exactas y Naturales. Departamento de Industrias, Intendente Güiraldes, 2160, CABA, Argentina</w:t>
      </w:r>
    </w:p>
    <w:p w14:paraId="00000005" w14:textId="77777777" w:rsidR="001D11F1" w:rsidRDefault="00000000">
      <w:pPr>
        <w:shd w:val="clear" w:color="auto" w:fill="FFFFFF"/>
        <w:spacing w:line="240" w:lineRule="auto"/>
        <w:ind w:left="0" w:right="44" w:hanging="2"/>
        <w:rPr>
          <w:color w:val="000000"/>
        </w:rPr>
      </w:pPr>
      <w:r>
        <w:rPr>
          <w:color w:val="000000"/>
        </w:rPr>
        <w:t>(2)</w:t>
      </w:r>
      <w:r>
        <w:rPr>
          <w:color w:val="000000"/>
          <w:vertAlign w:val="superscript"/>
        </w:rPr>
        <w:t xml:space="preserve"> </w:t>
      </w:r>
      <w:r>
        <w:rPr>
          <w:color w:val="000000"/>
        </w:rPr>
        <w:t xml:space="preserve">CONICET - Universidad de Buenos Aires. Instituto de Tecnología de Alimentos y Procesos Químicos (ITAPROQ). Pabellón de Industrias. Ciudad Universitaria. Ciudad Autónoma de Buenos Aires </w:t>
      </w:r>
    </w:p>
    <w:p w14:paraId="00000006" w14:textId="77777777" w:rsidR="001D11F1" w:rsidRDefault="00000000">
      <w:pPr>
        <w:shd w:val="clear" w:color="auto" w:fill="FFFFFF"/>
        <w:spacing w:line="240" w:lineRule="auto"/>
        <w:ind w:left="0" w:right="44" w:hanging="2"/>
        <w:rPr>
          <w:color w:val="000000"/>
        </w:rPr>
      </w:pPr>
      <w:r>
        <w:rPr>
          <w:color w:val="000000"/>
        </w:rPr>
        <w:t>(3) Becaria doctoral CONICET</w:t>
      </w:r>
    </w:p>
    <w:p w14:paraId="00000007" w14:textId="77777777" w:rsidR="001D11F1" w:rsidRDefault="00000000">
      <w:pPr>
        <w:shd w:val="clear" w:color="auto" w:fill="FFFFFF"/>
        <w:spacing w:line="240" w:lineRule="auto"/>
        <w:ind w:left="0" w:right="44" w:hanging="2"/>
      </w:pPr>
      <w:r>
        <w:t>(4)</w:t>
      </w:r>
      <w:r>
        <w:rPr>
          <w:vertAlign w:val="superscript"/>
        </w:rPr>
        <w:t xml:space="preserve"> </w:t>
      </w:r>
      <w:r>
        <w:t>Becaria doctoral Universidad de Buenos Aires</w:t>
      </w:r>
    </w:p>
    <w:p w14:paraId="00000008" w14:textId="77777777" w:rsidR="001D11F1" w:rsidRDefault="00000000">
      <w:pPr>
        <w:shd w:val="clear" w:color="auto" w:fill="FFFFFF"/>
        <w:spacing w:after="0" w:line="240" w:lineRule="auto"/>
        <w:ind w:left="0" w:right="-1701" w:hanging="2"/>
        <w:jc w:val="left"/>
      </w:pPr>
      <w:r>
        <w:rPr>
          <w:color w:val="000000"/>
        </w:rPr>
        <w:t xml:space="preserve">E-mail: </w:t>
      </w:r>
      <w:hyperlink r:id="rId10">
        <w:r>
          <w:rPr>
            <w:color w:val="000000"/>
          </w:rPr>
          <w:t>sniguerrero@gmail.com</w:t>
        </w:r>
      </w:hyperlink>
    </w:p>
    <w:p w14:paraId="00000009" w14:textId="77777777" w:rsidR="001D11F1" w:rsidRDefault="00000000">
      <w:pPr>
        <w:spacing w:after="0" w:line="240" w:lineRule="auto"/>
        <w:ind w:left="0" w:hanging="2"/>
        <w:jc w:val="left"/>
        <w:rPr>
          <w:color w:val="000000"/>
        </w:rPr>
      </w:pPr>
      <w:r>
        <w:rPr>
          <w:color w:val="000000"/>
        </w:rPr>
        <w:tab/>
      </w:r>
    </w:p>
    <w:p w14:paraId="0000000A" w14:textId="77777777" w:rsidR="001D11F1" w:rsidRDefault="00000000">
      <w:pPr>
        <w:spacing w:after="0" w:line="240" w:lineRule="auto"/>
        <w:ind w:left="0" w:hanging="2"/>
      </w:pPr>
      <w:r>
        <w:t>La demanda creciente de bebidas mínimamente procesadas, seguras y de calidad mejorada respecto de aquellas con procesamiento térmico justifica el desarrollo de nuevas tecnologías de conservación. La luz UV-C (254nm) ha demostrado ser efectiva para inactivar una amplia gama de microorganismos y es considerada una tecnología “verde”, de bajo costo y de fácil implementación en línea. Sin embargo, la elevada efectividad de inactivación microbiana observada en agua y bebidas claras disminuye cuando se utiliza para procesar bebidas con partículas en suspensión y/o compuestos que absorben la luz. El uso de reactores UV-C de diseño que favorece el contacto del producto con la luz y/o la asistencia al UV de otros factores de stress pueden contribuir a solucionar a este problema. El presente trabajo tuvo por  objetivo analizar la inactivación de la flora nativa   de un jugo-</w:t>
      </w:r>
      <w:proofErr w:type="spellStart"/>
      <w:r>
        <w:t>blend</w:t>
      </w:r>
      <w:proofErr w:type="spellEnd"/>
      <w:r>
        <w:t xml:space="preserve">  exprimido de naranja-mandarina (</w:t>
      </w:r>
      <w:r>
        <w:rPr>
          <w:color w:val="000000"/>
        </w:rPr>
        <w:t>1:1; pH= 3,6±0,1; 10,5±0,1°Brix; 3029± 10 NTU; Abs</w:t>
      </w:r>
      <w:r>
        <w:rPr>
          <w:color w:val="000000"/>
          <w:vertAlign w:val="subscript"/>
        </w:rPr>
        <w:t>254nm</w:t>
      </w:r>
      <w:r>
        <w:rPr>
          <w:color w:val="000000"/>
        </w:rPr>
        <w:t xml:space="preserve">= 0,387±0,010; UVT%= 41,02; tamaño partícula: </w:t>
      </w:r>
      <w:r>
        <w:rPr>
          <w:i/>
          <w:color w:val="000000"/>
        </w:rPr>
        <w:t>D</w:t>
      </w:r>
      <w:r>
        <w:rPr>
          <w:i/>
          <w:color w:val="000000"/>
          <w:vertAlign w:val="subscript"/>
        </w:rPr>
        <w:t>3,2</w:t>
      </w:r>
      <w:r>
        <w:rPr>
          <w:color w:val="000000"/>
        </w:rPr>
        <w:t xml:space="preserve">= 33 µm, </w:t>
      </w:r>
      <w:r>
        <w:rPr>
          <w:i/>
          <w:color w:val="000000"/>
        </w:rPr>
        <w:t>D</w:t>
      </w:r>
      <w:r>
        <w:rPr>
          <w:i/>
          <w:color w:val="000000"/>
          <w:vertAlign w:val="subscript"/>
        </w:rPr>
        <w:t>4,3</w:t>
      </w:r>
      <w:r>
        <w:rPr>
          <w:color w:val="000000"/>
        </w:rPr>
        <w:t>=</w:t>
      </w:r>
      <w:r>
        <w:t>354 µm; L*=34,67±0,06, a*=-1,71±0,03; b*=26,16±0,13) tratado a escala piloto por luz UV-C asistida por temperatura moderada (50°C, UV-C/T) en un equipo  de flujo tipo  Dean que garantiza un mejor mezclado por vórtices secundarios (50 L, tubo-</w:t>
      </w:r>
      <w:proofErr w:type="spellStart"/>
      <w:r>
        <w:t>coil</w:t>
      </w:r>
      <w:proofErr w:type="spellEnd"/>
      <w:r>
        <w:t xml:space="preserve"> FEP; fluencia actinométrica= 390 </w:t>
      </w:r>
      <w:proofErr w:type="spellStart"/>
      <w:r>
        <w:t>mJ</w:t>
      </w:r>
      <w:proofErr w:type="spellEnd"/>
      <w:r>
        <w:t>/cm</w:t>
      </w:r>
      <w:r>
        <w:rPr>
          <w:vertAlign w:val="superscript"/>
        </w:rPr>
        <w:t>2</w:t>
      </w:r>
      <w:r>
        <w:t xml:space="preserve">; 380 L/h; </w:t>
      </w:r>
      <w:r>
        <w:rPr>
          <w:color w:val="000000"/>
        </w:rPr>
        <w:t xml:space="preserve">1894,8kJ/L/pasada; </w:t>
      </w:r>
      <w:proofErr w:type="spellStart"/>
      <w:r>
        <w:rPr>
          <w:color w:val="000000"/>
        </w:rPr>
        <w:t>t</w:t>
      </w:r>
      <w:r>
        <w:rPr>
          <w:color w:val="000000"/>
          <w:vertAlign w:val="subscript"/>
        </w:rPr>
        <w:t>residencia</w:t>
      </w:r>
      <w:proofErr w:type="spellEnd"/>
      <w:r>
        <w:rPr>
          <w:color w:val="000000"/>
        </w:rPr>
        <w:t xml:space="preserve">=19min; </w:t>
      </w:r>
      <w:r>
        <w:t>Re=2808; D/</w:t>
      </w:r>
      <w:proofErr w:type="spellStart"/>
      <w:r>
        <w:t>Dc</w:t>
      </w:r>
      <w:proofErr w:type="spellEnd"/>
      <w:r>
        <w:t xml:space="preserve">=0,05; </w:t>
      </w:r>
      <w:proofErr w:type="spellStart"/>
      <w:r>
        <w:t>N°Dean</w:t>
      </w:r>
      <w:proofErr w:type="spellEnd"/>
      <w:r>
        <w:t xml:space="preserve">=612) y la evolución de los microorganismos sobrevivientes   durante el almacenamiento refrigerado (4±1°C, 25 días) del jugo. Adicionalmente, se realizó la siguiente caracterización fisicoquímica del jugo procesado por UV-C/T: actividad antioxidante (AA) por DPPH y ABTS, polifenoles totales (PT), flavonoides, pH, </w:t>
      </w:r>
      <w:proofErr w:type="spellStart"/>
      <w:r>
        <w:t>°Brix</w:t>
      </w:r>
      <w:proofErr w:type="spellEnd"/>
      <w:r>
        <w:t>, turbidez y color de jugos procesado por UV-C/T</w:t>
      </w:r>
      <w:r>
        <w:rPr>
          <w:color w:val="000000"/>
        </w:rPr>
        <w:t>, comparado con un sistema control (jugo natural sin tratamiento). El tratamiento UV-C/T provocó una reducción de los aerobios mesófilos totales (AMT), y hongos y levaduras (</w:t>
      </w:r>
      <w:proofErr w:type="spellStart"/>
      <w:r>
        <w:rPr>
          <w:color w:val="000000"/>
        </w:rPr>
        <w:t>HyL</w:t>
      </w:r>
      <w:proofErr w:type="spellEnd"/>
      <w:r>
        <w:rPr>
          <w:color w:val="000000"/>
        </w:rPr>
        <w:t xml:space="preserve">) de 3,2±0,2 y </w:t>
      </w:r>
      <w:sdt>
        <w:sdtPr>
          <w:tag w:val="goog_rdk_1"/>
          <w:id w:val="1796024360"/>
        </w:sdtPr>
        <w:sdtContent>
          <w:commentRangeStart w:id="1"/>
        </w:sdtContent>
      </w:sdt>
      <w:r>
        <w:rPr>
          <w:color w:val="000000"/>
        </w:rPr>
        <w:t>2,7±0,4 ciclos logarítmicos</w:t>
      </w:r>
      <w:commentRangeEnd w:id="1"/>
      <w:r>
        <w:commentReference w:id="1"/>
      </w:r>
      <w:r>
        <w:rPr>
          <w:color w:val="000000"/>
        </w:rPr>
        <w:t>, respectivamente.</w:t>
      </w:r>
      <w:r>
        <w:t xml:space="preserve"> </w:t>
      </w:r>
      <w:r>
        <w:rPr>
          <w:color w:val="000000"/>
        </w:rPr>
        <w:t>Asimismo, se eliminó completamente la población de bacterias coliformes (2,7±0,7 reducciones logarítmicas)</w:t>
      </w:r>
      <w:r>
        <w:rPr>
          <w:color w:val="FF0000"/>
        </w:rPr>
        <w:t xml:space="preserve">. </w:t>
      </w:r>
      <w:r>
        <w:rPr>
          <w:color w:val="000000"/>
        </w:rPr>
        <w:t xml:space="preserve">Ninguna de las poblaciones tratadas logró recuperarse, manteniéndose constantes durante los 25 días de almacenamiento refrigerado. Por el contrario, en la muestra control, se evidenció un aumento de AMT (1,6 ciclos logarítmicos) al sexto día de almacenamiento para luego mantenerse constante mientras </w:t>
      </w:r>
      <w:proofErr w:type="gramStart"/>
      <w:r>
        <w:rPr>
          <w:color w:val="000000"/>
        </w:rPr>
        <w:t>que,  la</w:t>
      </w:r>
      <w:proofErr w:type="gramEnd"/>
      <w:r>
        <w:rPr>
          <w:color w:val="000000"/>
        </w:rPr>
        <w:t xml:space="preserve"> </w:t>
      </w:r>
      <w:r>
        <w:rPr>
          <w:color w:val="000000"/>
        </w:rPr>
        <w:lastRenderedPageBreak/>
        <w:t xml:space="preserve">población de </w:t>
      </w:r>
      <w:proofErr w:type="spellStart"/>
      <w:r>
        <w:rPr>
          <w:color w:val="000000"/>
        </w:rPr>
        <w:t>HyL</w:t>
      </w:r>
      <w:proofErr w:type="spellEnd"/>
      <w:r>
        <w:rPr>
          <w:color w:val="000000"/>
        </w:rPr>
        <w:t xml:space="preserve"> aumentó  constantemente durante el almacenamiento (2,1 ciclos logarítmicos). El tratamiento UV-C/T no perjudicó la calidad físico-química del jugo natural ya que, </w:t>
      </w:r>
      <w:r>
        <w:t>comparado con el jugo control,</w:t>
      </w:r>
      <w:r>
        <w:rPr>
          <w:color w:val="000000"/>
        </w:rPr>
        <w:t xml:space="preserve"> los </w:t>
      </w:r>
      <w:r>
        <w:t xml:space="preserve">valores de turbidez, </w:t>
      </w:r>
      <w:proofErr w:type="spellStart"/>
      <w:r>
        <w:t>°Brix</w:t>
      </w:r>
      <w:proofErr w:type="spellEnd"/>
      <w:r>
        <w:t>, color y pH no se alteraron. Asimismo, los niveles de AA</w:t>
      </w:r>
      <w:r>
        <w:rPr>
          <w:vertAlign w:val="subscript"/>
        </w:rPr>
        <w:t>DPPH</w:t>
      </w:r>
      <w:r>
        <w:t>, AA</w:t>
      </w:r>
      <w:r>
        <w:rPr>
          <w:vertAlign w:val="subscript"/>
        </w:rPr>
        <w:t>ABTS</w:t>
      </w:r>
      <w:r>
        <w:t xml:space="preserve">, PT y flavonoides del jugo UV-C/T (1,76±0,19 mg </w:t>
      </w:r>
      <w:proofErr w:type="spellStart"/>
      <w:r>
        <w:t>troloxEq</w:t>
      </w:r>
      <w:proofErr w:type="spellEnd"/>
      <w:r>
        <w:t xml:space="preserve">; 0,56±0,04 mg </w:t>
      </w:r>
      <w:proofErr w:type="spellStart"/>
      <w:r>
        <w:t>troloxEq</w:t>
      </w:r>
      <w:proofErr w:type="spellEnd"/>
      <w:r>
        <w:t xml:space="preserve">; 0,30±0,00 mg ácido gálico </w:t>
      </w:r>
      <w:proofErr w:type="spellStart"/>
      <w:r>
        <w:t>Eq</w:t>
      </w:r>
      <w:proofErr w:type="spellEnd"/>
      <w:r>
        <w:t xml:space="preserve"> y 0,080±0,00 mg catequina </w:t>
      </w:r>
      <w:proofErr w:type="spellStart"/>
      <w:r>
        <w:t>Eq</w:t>
      </w:r>
      <w:proofErr w:type="spellEnd"/>
      <w:r>
        <w:t xml:space="preserve">.) fueron similares al control (1,20±0,59 mg </w:t>
      </w:r>
      <w:proofErr w:type="spellStart"/>
      <w:r>
        <w:t>troloxEq</w:t>
      </w:r>
      <w:proofErr w:type="spellEnd"/>
      <w:r>
        <w:t xml:space="preserve">; 0,94±0,04 mg </w:t>
      </w:r>
      <w:proofErr w:type="spellStart"/>
      <w:r>
        <w:t>troloxEq</w:t>
      </w:r>
      <w:proofErr w:type="spellEnd"/>
      <w:r>
        <w:t xml:space="preserve">; 0,31±0,02 mg ácido gálico </w:t>
      </w:r>
      <w:proofErr w:type="spellStart"/>
      <w:r>
        <w:t>Eq</w:t>
      </w:r>
      <w:proofErr w:type="spellEnd"/>
      <w:r>
        <w:t xml:space="preserve"> y 0,080±0,00 mg catequina </w:t>
      </w:r>
      <w:proofErr w:type="spellStart"/>
      <w:r>
        <w:t>Eq</w:t>
      </w:r>
      <w:proofErr w:type="spellEnd"/>
      <w:r>
        <w:rPr>
          <w:color w:val="FF0000"/>
        </w:rPr>
        <w:t xml:space="preserve">, </w:t>
      </w:r>
      <w:r>
        <w:rPr>
          <w:color w:val="000000"/>
        </w:rPr>
        <w:t xml:space="preserve">respectivamente). </w:t>
      </w:r>
      <w:r>
        <w:t>Dichos parámetros de calidad se mantuvieron constantes a lo largo del almacenamiento refrigerado. La luz UV-C asistida por calor moderado sería una alternativa de interés para el tratamiento de bebidas complejas ya que redujo efectivamente la flora nativa contaminante de un jugo natural de naranja-mandarina y preservó adecuadamente los compuestos bioactivos de interés y los parámetros fisicoquímicos.</w:t>
      </w:r>
    </w:p>
    <w:p w14:paraId="0000000B" w14:textId="77777777" w:rsidR="001D11F1" w:rsidRDefault="001D11F1">
      <w:pPr>
        <w:spacing w:after="0" w:line="240" w:lineRule="auto"/>
        <w:ind w:left="0" w:hanging="2"/>
      </w:pPr>
    </w:p>
    <w:p w14:paraId="0000000C" w14:textId="77777777" w:rsidR="001D11F1" w:rsidRDefault="00000000">
      <w:pPr>
        <w:spacing w:after="0" w:line="240" w:lineRule="auto"/>
        <w:ind w:left="0" w:hanging="2"/>
      </w:pPr>
      <w:r>
        <w:t>Palabras Clave: tecnologías emergentes, jugos frutales, tecnologías de barrera.</w:t>
      </w:r>
    </w:p>
    <w:sectPr w:rsidR="001D11F1">
      <w:headerReference w:type="default" r:id="rId11"/>
      <w:pgSz w:w="11907" w:h="16840"/>
      <w:pgMar w:top="1417" w:right="1701" w:bottom="1417" w:left="1701" w:header="794" w:footer="794"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olina DelBo" w:date="2022-08-04T23:12:00Z" w:initials="">
    <w:p w14:paraId="0000000F" w14:textId="77777777" w:rsidR="001D11F1" w:rsidRDefault="00000000">
      <w:pPr>
        <w:widowControl w:val="0"/>
        <w:pBdr>
          <w:top w:val="nil"/>
          <w:left w:val="nil"/>
          <w:bottom w:val="nil"/>
          <w:right w:val="nil"/>
          <w:between w:val="nil"/>
        </w:pBdr>
        <w:spacing w:after="0" w:line="240" w:lineRule="auto"/>
        <w:ind w:left="0" w:hanging="2"/>
        <w:jc w:val="left"/>
        <w:rPr>
          <w:color w:val="000000"/>
          <w:sz w:val="22"/>
          <w:szCs w:val="22"/>
        </w:rPr>
      </w:pPr>
      <w:r>
        <w:rPr>
          <w:color w:val="000000"/>
          <w:sz w:val="22"/>
          <w:szCs w:val="22"/>
        </w:rPr>
        <w:t>El título tiene 24 palabras</w:t>
      </w:r>
    </w:p>
  </w:comment>
  <w:comment w:id="1" w:author="Carolina DelBo" w:date="2022-08-04T23:10:00Z" w:initials="">
    <w:p w14:paraId="0000000E" w14:textId="77777777" w:rsidR="001D11F1" w:rsidRDefault="00000000">
      <w:pPr>
        <w:widowControl w:val="0"/>
        <w:pBdr>
          <w:top w:val="nil"/>
          <w:left w:val="nil"/>
          <w:bottom w:val="nil"/>
          <w:right w:val="nil"/>
          <w:between w:val="nil"/>
        </w:pBdr>
        <w:spacing w:after="0" w:line="240" w:lineRule="auto"/>
        <w:ind w:left="0" w:hanging="2"/>
        <w:jc w:val="left"/>
        <w:rPr>
          <w:color w:val="000000"/>
          <w:sz w:val="22"/>
          <w:szCs w:val="22"/>
        </w:rPr>
      </w:pPr>
      <w:r>
        <w:rPr>
          <w:color w:val="000000"/>
          <w:sz w:val="22"/>
          <w:szCs w:val="22"/>
        </w:rPr>
        <w:t>¿Qué metodología se utilizó en el recuento microbiano para expresar los resultados en ciclos log?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0F" w15:done="0"/>
  <w15:commentEx w15:paraId="000000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0F" w16cid:durableId="2697B600"/>
  <w16cid:commentId w16cid:paraId="0000000E" w16cid:durableId="2697B5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5DED0" w14:textId="77777777" w:rsidR="00197964" w:rsidRDefault="00197964">
      <w:pPr>
        <w:spacing w:after="0" w:line="240" w:lineRule="auto"/>
        <w:ind w:left="0" w:hanging="2"/>
      </w:pPr>
      <w:r>
        <w:separator/>
      </w:r>
    </w:p>
  </w:endnote>
  <w:endnote w:type="continuationSeparator" w:id="0">
    <w:p w14:paraId="342EE3C5" w14:textId="77777777" w:rsidR="00197964" w:rsidRDefault="0019796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3FBB" w14:textId="77777777" w:rsidR="00197964" w:rsidRDefault="00197964">
      <w:pPr>
        <w:spacing w:after="0" w:line="240" w:lineRule="auto"/>
        <w:ind w:left="0" w:hanging="2"/>
      </w:pPr>
      <w:r>
        <w:separator/>
      </w:r>
    </w:p>
  </w:footnote>
  <w:footnote w:type="continuationSeparator" w:id="0">
    <w:p w14:paraId="7EDFB43C" w14:textId="77777777" w:rsidR="00197964" w:rsidRDefault="0019796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D" w14:textId="77777777" w:rsidR="001D11F1" w:rsidRDefault="00000000">
    <w:pPr>
      <w:pBdr>
        <w:top w:val="nil"/>
        <w:left w:val="nil"/>
        <w:bottom w:val="single" w:sz="4" w:space="1" w:color="000000"/>
        <w:right w:val="nil"/>
        <w:between w:val="nil"/>
      </w:pBdr>
      <w:spacing w:after="0" w:line="240" w:lineRule="auto"/>
      <w:ind w:left="0" w:hanging="2"/>
      <w:jc w:val="right"/>
      <w:rPr>
        <w:color w:val="000000"/>
      </w:rPr>
    </w:pPr>
    <w:r>
      <w:rPr>
        <w:b/>
        <w:i/>
        <w:color w:val="000000"/>
        <w:sz w:val="18"/>
        <w:szCs w:val="18"/>
        <w:highlight w:val="white"/>
      </w:rPr>
      <w:t>VIII Congreso Internacional de Ciencia y Tecnología de Alimentos (CICYTAC 202</w:t>
    </w:r>
    <w:r>
      <w:rPr>
        <w:b/>
        <w:i/>
        <w:sz w:val="18"/>
        <w:szCs w:val="18"/>
        <w:highlight w:val="white"/>
      </w:rPr>
      <w:t>2</w:t>
    </w:r>
    <w:r>
      <w:rPr>
        <w:b/>
        <w:i/>
        <w:color w:val="000000"/>
        <w:sz w:val="18"/>
        <w:szCs w:val="18"/>
        <w:highlight w:val="white"/>
      </w:rPr>
      <w:t>)</w:t>
    </w:r>
    <w:r>
      <w:rPr>
        <w:noProof/>
      </w:rPr>
      <w:drawing>
        <wp:anchor distT="0" distB="0" distL="114300" distR="114300" simplePos="0" relativeHeight="251658240" behindDoc="0" locked="0" layoutInCell="1" hidden="0" allowOverlap="1" wp14:anchorId="29A2B09B" wp14:editId="615DEEDE">
          <wp:simplePos x="0" y="0"/>
          <wp:positionH relativeFrom="column">
            <wp:posOffset>5718</wp:posOffset>
          </wp:positionH>
          <wp:positionV relativeFrom="paragraph">
            <wp:posOffset>-274952</wp:posOffset>
          </wp:positionV>
          <wp:extent cx="676275" cy="65722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6275" cy="6572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1F1"/>
    <w:rsid w:val="00197964"/>
    <w:rsid w:val="001D11F1"/>
    <w:rsid w:val="00A335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583B7-69D0-4539-B099-81C22280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AR" w:eastAsia="es-AR" w:bidi="ar-SA"/>
      </w:rPr>
    </w:rPrDefault>
    <w:pPrDefault>
      <w:pPr>
        <w:spacing w:after="200" w:line="276" w:lineRule="auto"/>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Ttulo11">
    <w:name w:val="Título 11"/>
    <w:basedOn w:val="Normal"/>
    <w:next w:val="Normal"/>
    <w:pPr>
      <w:jc w:val="center"/>
    </w:pPr>
    <w:rPr>
      <w:rFonts w:cs="Times New Roman"/>
      <w:b/>
    </w:rPr>
  </w:style>
  <w:style w:type="paragraph" w:customStyle="1" w:styleId="Ttulo21">
    <w:name w:val="Título 21"/>
    <w:basedOn w:val="Normal"/>
    <w:next w:val="Normal"/>
    <w:pPr>
      <w:jc w:val="center"/>
      <w:outlineLvl w:val="1"/>
    </w:pPr>
    <w:rPr>
      <w:rFonts w:cs="Times New Roman"/>
    </w:rPr>
  </w:style>
  <w:style w:type="paragraph" w:customStyle="1" w:styleId="Ttulo31">
    <w:name w:val="Título 31"/>
    <w:basedOn w:val="Normal"/>
    <w:next w:val="Normal"/>
    <w:pPr>
      <w:jc w:val="center"/>
      <w:outlineLvl w:val="2"/>
    </w:pPr>
    <w:rPr>
      <w:rFonts w:cs="Times New Roman"/>
    </w:rPr>
  </w:style>
  <w:style w:type="character" w:customStyle="1" w:styleId="Fuentedeprrafopredeter1">
    <w:name w:val="Fuente de párrafo predeter.1"/>
    <w:qFormat/>
    <w:rPr>
      <w:w w:val="100"/>
      <w:position w:val="-1"/>
      <w:effect w:val="none"/>
      <w:vertAlign w:val="baseline"/>
      <w:cs w:val="0"/>
      <w:em w:val="none"/>
    </w:rPr>
  </w:style>
  <w:style w:type="table" w:customStyle="1" w:styleId="Tablanormal1">
    <w:name w:val="Tabla normal1"/>
    <w:qFormat/>
    <w:pPr>
      <w:suppressAutoHyphens/>
      <w:spacing w:line="1" w:lineRule="atLeast"/>
      <w:ind w:leftChars="-1" w:left="-1" w:hangingChars="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1">
    <w:name w:val="Sin lista1"/>
    <w:qFormat/>
  </w:style>
  <w:style w:type="character" w:customStyle="1" w:styleId="Hipervnculo1">
    <w:name w:val="Hipervínculo1"/>
    <w:rPr>
      <w:color w:val="0000FF"/>
      <w:w w:val="100"/>
      <w:position w:val="-1"/>
      <w:u w:val="single"/>
      <w:effect w:val="none"/>
      <w:vertAlign w:val="baseline"/>
      <w:cs w:val="0"/>
      <w:em w:val="none"/>
    </w:rPr>
  </w:style>
  <w:style w:type="character" w:customStyle="1" w:styleId="Ttulo1Car">
    <w:name w:val="Título 1 Car"/>
    <w:rPr>
      <w:rFonts w:ascii="Arial" w:hAnsi="Arial" w:cs="Arial"/>
      <w:b/>
      <w:w w:val="100"/>
      <w:position w:val="-1"/>
      <w:sz w:val="24"/>
      <w:szCs w:val="24"/>
      <w:effect w:val="none"/>
      <w:vertAlign w:val="baseline"/>
      <w:cs w:val="0"/>
      <w:em w:val="none"/>
    </w:rPr>
  </w:style>
  <w:style w:type="character" w:customStyle="1" w:styleId="Ttulo2Car">
    <w:name w:val="Título 2 Car"/>
    <w:rPr>
      <w:rFonts w:ascii="Arial" w:hAnsi="Arial" w:cs="Arial"/>
      <w:w w:val="100"/>
      <w:position w:val="-1"/>
      <w:sz w:val="24"/>
      <w:szCs w:val="24"/>
      <w:effect w:val="none"/>
      <w:vertAlign w:val="baseline"/>
      <w:cs w:val="0"/>
      <w:em w:val="none"/>
    </w:rPr>
  </w:style>
  <w:style w:type="character" w:customStyle="1" w:styleId="Ttulo3Car">
    <w:name w:val="Título 3 Car"/>
    <w:rPr>
      <w:rFonts w:ascii="Arial" w:hAnsi="Arial" w:cs="Arial"/>
      <w:w w:val="100"/>
      <w:position w:val="-1"/>
      <w:sz w:val="24"/>
      <w:szCs w:val="24"/>
      <w:effect w:val="none"/>
      <w:vertAlign w:val="baseline"/>
      <w:cs w:val="0"/>
      <w:em w:val="none"/>
    </w:rPr>
  </w:style>
  <w:style w:type="paragraph" w:customStyle="1" w:styleId="Encabezado1">
    <w:name w:val="Encabezado1"/>
    <w:basedOn w:val="Normal"/>
    <w:qFormat/>
    <w:pPr>
      <w:spacing w:after="0" w:line="240" w:lineRule="auto"/>
    </w:pPr>
    <w:rPr>
      <w:rFonts w:cs="Times New Roman"/>
    </w:rPr>
  </w:style>
  <w:style w:type="character" w:customStyle="1" w:styleId="EncabezadoCar">
    <w:name w:val="Encabezado Car"/>
    <w:rPr>
      <w:rFonts w:ascii="Arial" w:hAnsi="Arial" w:cs="Arial"/>
      <w:w w:val="100"/>
      <w:position w:val="-1"/>
      <w:sz w:val="24"/>
      <w:szCs w:val="24"/>
      <w:effect w:val="none"/>
      <w:vertAlign w:val="baseline"/>
      <w:cs w:val="0"/>
      <w:em w:val="none"/>
    </w:rPr>
  </w:style>
  <w:style w:type="paragraph" w:customStyle="1" w:styleId="Piedepgina1">
    <w:name w:val="Pie de página1"/>
    <w:basedOn w:val="Normal"/>
    <w:qFormat/>
    <w:pPr>
      <w:spacing w:after="0" w:line="240" w:lineRule="auto"/>
    </w:pPr>
    <w:rPr>
      <w:rFonts w:cs="Times New Roman"/>
    </w:rPr>
  </w:style>
  <w:style w:type="character" w:customStyle="1" w:styleId="PiedepginaCar">
    <w:name w:val="Pie de página Car"/>
    <w:rPr>
      <w:rFonts w:ascii="Arial" w:hAnsi="Arial" w:cs="Arial"/>
      <w:w w:val="100"/>
      <w:position w:val="-1"/>
      <w:sz w:val="24"/>
      <w:szCs w:val="24"/>
      <w:effect w:val="none"/>
      <w:vertAlign w:val="baseline"/>
      <w:cs w:val="0"/>
      <w:em w:val="none"/>
    </w:rPr>
  </w:style>
  <w:style w:type="character" w:customStyle="1" w:styleId="Textoennegrita1">
    <w:name w:val="Texto en negrita1"/>
    <w:rPr>
      <w:b/>
      <w:bCs/>
      <w:w w:val="100"/>
      <w:position w:val="-1"/>
      <w:effect w:val="none"/>
      <w:vertAlign w:val="baseline"/>
      <w:cs w:val="0"/>
      <w:em w:val="none"/>
    </w:rPr>
  </w:style>
  <w:style w:type="paragraph" w:customStyle="1" w:styleId="Textodeglobo1">
    <w:name w:val="Texto de globo1"/>
    <w:basedOn w:val="Normal"/>
    <w:qFormat/>
    <w:pPr>
      <w:spacing w:after="0" w:line="240" w:lineRule="auto"/>
    </w:pPr>
    <w:rPr>
      <w:rFonts w:ascii="Segoe UI" w:hAnsi="Segoe UI" w:cs="Times New Roman"/>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E9159D"/>
    <w:rPr>
      <w:sz w:val="16"/>
      <w:szCs w:val="16"/>
    </w:rPr>
  </w:style>
  <w:style w:type="paragraph" w:styleId="Textocomentario">
    <w:name w:val="annotation text"/>
    <w:basedOn w:val="Normal"/>
    <w:link w:val="TextocomentarioCar"/>
    <w:uiPriority w:val="99"/>
    <w:semiHidden/>
    <w:unhideWhenUsed/>
    <w:rsid w:val="00E915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159D"/>
    <w:rPr>
      <w:position w:val="-1"/>
      <w:sz w:val="20"/>
      <w:szCs w:val="20"/>
    </w:rPr>
  </w:style>
  <w:style w:type="paragraph" w:styleId="Asuntodelcomentario">
    <w:name w:val="annotation subject"/>
    <w:basedOn w:val="Textocomentario"/>
    <w:next w:val="Textocomentario"/>
    <w:link w:val="AsuntodelcomentarioCar"/>
    <w:uiPriority w:val="99"/>
    <w:semiHidden/>
    <w:unhideWhenUsed/>
    <w:rsid w:val="00E9159D"/>
    <w:rPr>
      <w:b/>
      <w:bCs/>
    </w:rPr>
  </w:style>
  <w:style w:type="character" w:customStyle="1" w:styleId="AsuntodelcomentarioCar">
    <w:name w:val="Asunto del comentario Car"/>
    <w:basedOn w:val="TextocomentarioCar"/>
    <w:link w:val="Asuntodelcomentario"/>
    <w:uiPriority w:val="99"/>
    <w:semiHidden/>
    <w:rsid w:val="00E9159D"/>
    <w:rPr>
      <w:b/>
      <w:bCs/>
      <w:position w:val="-1"/>
      <w:sz w:val="20"/>
      <w:szCs w:val="20"/>
    </w:rPr>
  </w:style>
  <w:style w:type="paragraph" w:styleId="Textodeglobo">
    <w:name w:val="Balloon Text"/>
    <w:basedOn w:val="Normal"/>
    <w:link w:val="TextodegloboCar1"/>
    <w:uiPriority w:val="99"/>
    <w:semiHidden/>
    <w:unhideWhenUsed/>
    <w:rsid w:val="00E9159D"/>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E9159D"/>
    <w:rPr>
      <w:rFonts w:ascii="Segoe UI"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niguerrero@gmail.com" TargetMode="Externa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kxYCYr4uSbCBtSA9W45gJbIKSw==">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3602</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Abel López</cp:lastModifiedBy>
  <cp:revision>2</cp:revision>
  <dcterms:created xsi:type="dcterms:W3CDTF">2022-08-05T18:30:00Z</dcterms:created>
  <dcterms:modified xsi:type="dcterms:W3CDTF">2022-08-05T18:30:00Z</dcterms:modified>
</cp:coreProperties>
</file>