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0BA4E" w14:textId="77777777" w:rsidR="00E15992" w:rsidRPr="00F87E86" w:rsidRDefault="00E15992" w:rsidP="00F87E86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Microcápsulas de aceite esencial de tomillo y su aplicación en películas comestibles: análisis del perfil de liberación de volátiles</w:t>
      </w:r>
    </w:p>
    <w:p w14:paraId="56780672" w14:textId="77777777" w:rsidR="00E15992" w:rsidRPr="00F87E86" w:rsidRDefault="00E15992" w:rsidP="00F87E86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9C2186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Prieto MC.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1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,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Valentinuzzi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MC.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2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,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3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,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Camiletti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OF.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4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,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5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, </w:t>
      </w:r>
      <w:proofErr w:type="spellStart"/>
      <w:r w:rsidR="00DB73F1" w:rsidRPr="00F87E86">
        <w:rPr>
          <w:rFonts w:ascii="Arial" w:eastAsia="Times New Roman" w:hAnsi="Arial" w:cs="Arial"/>
          <w:sz w:val="24"/>
          <w:szCs w:val="24"/>
          <w:lang w:val="es-AR" w:eastAsia="es-ES"/>
        </w:rPr>
        <w:t>Lambir</w:t>
      </w:r>
      <w:proofErr w:type="spellEnd"/>
      <w:r w:rsidR="00DB73F1"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Jacobo AJ.</w:t>
      </w:r>
      <w:r w:rsidR="00DB73F1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 xml:space="preserve"> 6</w:t>
      </w:r>
      <w:r w:rsidR="00DB73F1"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, 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Alemán R.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4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,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5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, Grosso NR.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5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,</w:t>
      </w:r>
      <w:r w:rsidR="00DB73F1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7</w:t>
      </w:r>
    </w:p>
    <w:p w14:paraId="61BEF0E9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1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>Instituto de Botánica del Nordeste (IBONE – UNNE), CONICET.</w:t>
      </w:r>
    </w:p>
    <w:p w14:paraId="752D15AD" w14:textId="77777777" w:rsidR="005F3415" w:rsidRPr="00F87E86" w:rsidRDefault="005F3415" w:rsidP="00F87E8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2</w:t>
      </w:r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Universidad Nacional de Córdoba. Facultad de Ciencias Agropecuarias. Departamento de Ingeniería y Mecanización Rural. Cátedra de Física.</w:t>
      </w:r>
    </w:p>
    <w:p w14:paraId="5DA5716D" w14:textId="77777777" w:rsidR="005F3415" w:rsidRPr="00F87E86" w:rsidRDefault="005F3415" w:rsidP="00F87E8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3</w:t>
      </w:r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IFEG-CONICET</w:t>
      </w:r>
    </w:p>
    <w:p w14:paraId="2EFD4BE0" w14:textId="77777777" w:rsidR="005F3415" w:rsidRPr="00F87E86" w:rsidRDefault="005F3415" w:rsidP="00F87E8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4</w:t>
      </w:r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Universidad Nacional de Córdoba. Facultad de Ciencias Agropecuarias. Departamento de </w:t>
      </w:r>
      <w:proofErr w:type="spellStart"/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Agroalimentos</w:t>
      </w:r>
      <w:proofErr w:type="spellEnd"/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14:paraId="46548BB8" w14:textId="77777777" w:rsidR="00E15992" w:rsidRPr="00F87E86" w:rsidRDefault="005F3415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5</w:t>
      </w:r>
      <w:r w:rsidR="00E15992" w:rsidRPr="00F87E86">
        <w:rPr>
          <w:rFonts w:ascii="Arial" w:eastAsia="Times New Roman" w:hAnsi="Arial" w:cs="Arial"/>
          <w:sz w:val="24"/>
          <w:szCs w:val="24"/>
          <w:lang w:eastAsia="es-ES"/>
        </w:rPr>
        <w:t>Instituto Multidisciplinario de Biología Vegetal (IMBIV – UNC), CONICET </w:t>
      </w:r>
    </w:p>
    <w:p w14:paraId="3480E64A" w14:textId="77777777" w:rsidR="00DB73F1" w:rsidRPr="00F87E86" w:rsidRDefault="00DB73F1" w:rsidP="00F87E8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6</w:t>
      </w:r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Universidad Nacional de Córdoba. Facultad de Ciencias Agropecuarias. Departamento de Producción Vegetal. Cátedra de Industrias agrícolas.</w:t>
      </w:r>
    </w:p>
    <w:p w14:paraId="500F738F" w14:textId="77777777" w:rsidR="005F3415" w:rsidRPr="00F87E86" w:rsidRDefault="00DB73F1" w:rsidP="00F87E8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7</w:t>
      </w:r>
      <w:r w:rsidR="005F3415"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Universidad Nacional de Córdoba. Facultad de Ciencias Agropecuarias. Departamento de Fundamentación Biológica. Cátedra de Química </w:t>
      </w:r>
      <w:r w:rsidR="00391E0B"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Biológica</w:t>
      </w:r>
      <w:r w:rsidR="005F3415"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14:paraId="7BD10425" w14:textId="77777777" w:rsidR="005F3415" w:rsidRPr="00F87E86" w:rsidRDefault="005F3415" w:rsidP="00F87E8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14:paraId="1C98FF6C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lang w:eastAsia="es-ES"/>
        </w:rPr>
        <w:t>prietomc@agro.unc.edu.ar</w:t>
      </w:r>
    </w:p>
    <w:p w14:paraId="348B8F01" w14:textId="77777777" w:rsidR="00E15992" w:rsidRPr="00F87E86" w:rsidRDefault="00F30BAA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hyperlink r:id="rId7" w:history="1">
        <w:r w:rsidR="00E15992" w:rsidRPr="00F87E86">
          <w:rPr>
            <w:rFonts w:ascii="Arial" w:eastAsia="Times New Roman" w:hAnsi="Arial" w:cs="Arial"/>
            <w:sz w:val="24"/>
            <w:szCs w:val="24"/>
            <w:lang w:eastAsia="es-ES"/>
          </w:rPr>
          <w:t>mcvalentinuzzi@agro.unc.edu.ar</w:t>
        </w:r>
      </w:hyperlink>
      <w:bookmarkStart w:id="0" w:name="_GoBack"/>
      <w:bookmarkEnd w:id="0"/>
    </w:p>
    <w:p w14:paraId="68F9D8C0" w14:textId="77777777" w:rsidR="00E15992" w:rsidRPr="00F87E86" w:rsidRDefault="00F30BAA" w:rsidP="00F87E86">
      <w:pPr>
        <w:spacing w:line="240" w:lineRule="auto"/>
        <w:rPr>
          <w:rFonts w:ascii="Arial" w:hAnsi="Arial" w:cs="Arial"/>
          <w:sz w:val="24"/>
          <w:szCs w:val="24"/>
        </w:rPr>
      </w:pPr>
      <w:hyperlink r:id="rId8" w:history="1">
        <w:r w:rsidR="00E15992" w:rsidRPr="00F87E86">
          <w:rPr>
            <w:rFonts w:ascii="Arial" w:eastAsia="Times New Roman" w:hAnsi="Arial" w:cs="Arial"/>
            <w:sz w:val="24"/>
            <w:szCs w:val="24"/>
            <w:lang w:eastAsia="es-ES"/>
          </w:rPr>
          <w:t>ornella.camiletti@agro.unc.edu.ar</w:t>
        </w:r>
      </w:hyperlink>
    </w:p>
    <w:p w14:paraId="53FD3137" w14:textId="77777777" w:rsidR="00DB73F1" w:rsidRPr="00F87E86" w:rsidRDefault="00DB73F1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hAnsi="Arial" w:cs="Arial"/>
          <w:sz w:val="24"/>
          <w:szCs w:val="24"/>
        </w:rPr>
        <w:t>judithlj@agro.unc.edu.ar</w:t>
      </w:r>
    </w:p>
    <w:p w14:paraId="3355E14D" w14:textId="77777777" w:rsidR="00E15992" w:rsidRPr="00F87E86" w:rsidRDefault="00F30BAA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hyperlink r:id="rId9" w:history="1">
        <w:r w:rsidR="00E15992" w:rsidRPr="00F87E86">
          <w:rPr>
            <w:rFonts w:ascii="Arial" w:eastAsia="Times New Roman" w:hAnsi="Arial" w:cs="Arial"/>
            <w:sz w:val="24"/>
            <w:szCs w:val="24"/>
            <w:lang w:eastAsia="es-ES"/>
          </w:rPr>
          <w:t>raleman@agro.unc.edu.ar</w:t>
        </w:r>
      </w:hyperlink>
    </w:p>
    <w:p w14:paraId="00B1040B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lang w:eastAsia="es-ES"/>
        </w:rPr>
        <w:t>nrgrosso@agro.unc.edu.ar</w:t>
      </w:r>
    </w:p>
    <w:p w14:paraId="21F4CEE6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7B20A2C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lang w:eastAsia="es-ES"/>
        </w:rPr>
        <w:t>El aceite esencial (AE) de tomillo (</w:t>
      </w:r>
      <w:proofErr w:type="spellStart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Thymus</w:t>
      </w:r>
      <w:proofErr w:type="spellEnd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vulgaris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L.) es reconocido por sus propiedades antioxidantes y antimicrobianas. Estas propiedades lo convierten en una alternativa natural </w:t>
      </w:r>
      <w:r w:rsidR="0097763B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en reemplazo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>de preservantes sintéticos en alimentos.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7763B" w:rsidRPr="00F87E86">
        <w:rPr>
          <w:rFonts w:ascii="Arial" w:eastAsia="Times New Roman" w:hAnsi="Arial" w:cs="Arial"/>
          <w:sz w:val="24"/>
          <w:szCs w:val="24"/>
          <w:lang w:eastAsia="es-ES"/>
        </w:rPr>
        <w:t>Para preservar sus propiedades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7763B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estos compuestos pueden </w:t>
      </w:r>
      <w:r w:rsidR="00755119" w:rsidRPr="00F87E86">
        <w:rPr>
          <w:rFonts w:ascii="Arial" w:eastAsia="Times New Roman" w:hAnsi="Arial" w:cs="Arial"/>
          <w:sz w:val="24"/>
          <w:szCs w:val="24"/>
          <w:lang w:eastAsia="es-ES"/>
        </w:rPr>
        <w:t>aplicarse a matrices alimenticias incluidos en</w:t>
      </w:r>
      <w:r w:rsidR="004B635C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microcápsulas (MC). La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microencapsulación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protege los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AEs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de la degradación y permite una liberación gradual de sus compuestos volátiles, </w:t>
      </w:r>
      <w:r w:rsidR="00755119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prolongando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su actividad en el tiempo. Por otro lado, las películas comestibles (PC) son </w:t>
      </w:r>
      <w:r w:rsidR="00755119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estructuras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>continuas que funcionan como una barrera protectora contra daños físicos, químicos y microbiológicos. Con el fin de desarrollar nuevas herramientas para la preservación de alimentos, el presente trabajo propone incorporar MC de AE de tomillo en PC y evaluar el perfil de liberación de volátiles de sus principales compuestos bioactivos a lo largo del tiempo. Las MC se prepararon utilizando una relación 2:1 entre material de pared (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hidroxipropil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metilcelulosa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maltodextrina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) y material núcleo (90% de aceite de maní y 10% de AE de tomillo), y 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>fueron conservadas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en freezer (-20 °C) hasta su utilización. La solución filmogénica se obtuvo mezclando harina de girasol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deslipidizada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(74,11%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/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), glicerol (25,89%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/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) y agua destilada (bajo agitación constante, 75 °C y pH 9). Las MC se </w:t>
      </w:r>
      <w:r w:rsidR="00C44227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agregaron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en dos concentraciones (3% y 8%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/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). Se colocaron 10 y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de cada solución en moldes de 5 cm de diámetro, </w:t>
      </w:r>
      <w:r w:rsidR="00C44227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las cuales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se dejaron secar a 23 °C por 24 h, hasta formar las PC. Para evaluar la liberación de volátiles se almacenaron </w:t>
      </w:r>
      <w:r w:rsidR="004B635C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durante 31 días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0,20 g de cada película en viales de 10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tapados con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Parafilm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. Cada 10 días se extrajeron muestras de películas</w:t>
      </w:r>
      <w:r w:rsidR="00C44227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para 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ser </w:t>
      </w:r>
      <w:r w:rsidR="004B635C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evaluadas 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>por medio de GC-MS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. Los datos obtenidos se analizaron estadísticamente utilizando los test Kruskal-Wallis y análisis multivariado (MANOVA). Los resultados mostraron una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liberación de volátiles abundante y constante (p&gt;0,05) a lo largo de los 31 días para todos los tratamientos, a excepción del compuesto timol en el tratamiento con 8% de MC y PC de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. En estas muestras, los valores máximos se observaron en el día 0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decrecie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CE30F7" w:rsidRPr="00F87E86">
        <w:rPr>
          <w:rFonts w:ascii="Arial" w:eastAsia="Times New Roman" w:hAnsi="Arial" w:cs="Arial"/>
          <w:sz w:val="24"/>
          <w:szCs w:val="24"/>
          <w:lang w:eastAsia="es-ES"/>
        </w:rPr>
        <w:t>do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gradualmente hacia el día 31, momento en el que se redujeron a la mitad. Durante el almacenaje, la liberación de volátiles mostró diferencias significativas entre los tratamientos 3% de MC (PC de 10 y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) y 8% de MC (PC de 10 y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) para timol y o-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cimeno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y entre 3% MC-PC 10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y 8% MC-PC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para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carvacrol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. Se concluye que la liberación de compuestos volátiles es abundante para todos los </w:t>
      </w:r>
      <w:r w:rsidR="004B635C" w:rsidRPr="00F87E86">
        <w:rPr>
          <w:rFonts w:ascii="Arial" w:eastAsia="Times New Roman" w:hAnsi="Arial" w:cs="Arial"/>
          <w:sz w:val="24"/>
          <w:szCs w:val="24"/>
          <w:lang w:eastAsia="es-ES"/>
        </w:rPr>
        <w:t>tratamientos. Un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mayor contenido de MC en las PC proporciona mayor liberación de estos compuestos, lo cual podría ayudar a potenciar su bioactividad.</w:t>
      </w:r>
    </w:p>
    <w:p w14:paraId="143D1D4E" w14:textId="77777777" w:rsidR="004B635C" w:rsidRPr="00F87E86" w:rsidRDefault="004B635C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799F6EE" w14:textId="77777777" w:rsidR="00A70838" w:rsidRPr="00F87E86" w:rsidRDefault="00E15992" w:rsidP="00F87E86">
      <w:pPr>
        <w:spacing w:line="240" w:lineRule="auto"/>
        <w:rPr>
          <w:rFonts w:ascii="Arial" w:hAnsi="Arial" w:cs="Arial"/>
          <w:sz w:val="24"/>
          <w:szCs w:val="24"/>
        </w:rPr>
      </w:pP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Palabras clave: preservación natural, alimentos, </w:t>
      </w:r>
      <w:proofErr w:type="spellStart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Thymus</w:t>
      </w:r>
      <w:proofErr w:type="spellEnd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vulgaris</w:t>
      </w:r>
      <w:proofErr w:type="spellEnd"/>
    </w:p>
    <w:sectPr w:rsidR="00A70838" w:rsidRPr="00F87E86" w:rsidSect="00A7083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1E0D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F44B" w16cex:dateUtc="2022-07-21T1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1E0DEE" w16cid:durableId="2683F4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DAB27" w14:textId="77777777" w:rsidR="00F30BAA" w:rsidRDefault="00F30BAA" w:rsidP="00F87E86">
      <w:pPr>
        <w:spacing w:line="240" w:lineRule="auto"/>
      </w:pPr>
      <w:r>
        <w:separator/>
      </w:r>
    </w:p>
  </w:endnote>
  <w:endnote w:type="continuationSeparator" w:id="0">
    <w:p w14:paraId="5F62F37D" w14:textId="77777777" w:rsidR="00F30BAA" w:rsidRDefault="00F30BAA" w:rsidP="00F87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816E2" w14:textId="77777777" w:rsidR="00F30BAA" w:rsidRDefault="00F30BAA" w:rsidP="00F87E86">
      <w:pPr>
        <w:spacing w:line="240" w:lineRule="auto"/>
      </w:pPr>
      <w:r>
        <w:separator/>
      </w:r>
    </w:p>
  </w:footnote>
  <w:footnote w:type="continuationSeparator" w:id="0">
    <w:p w14:paraId="0F781CF9" w14:textId="77777777" w:rsidR="00F30BAA" w:rsidRDefault="00F30BAA" w:rsidP="00F87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444E" w14:textId="77777777" w:rsidR="00F87E86" w:rsidRDefault="00F87E86" w:rsidP="00F87E86">
    <w:pPr>
      <w:pBdr>
        <w:top w:val="nil"/>
        <w:left w:val="nil"/>
        <w:bottom w:val="single" w:sz="4" w:space="1" w:color="000000"/>
        <w:right w:val="nil"/>
        <w:between w:val="nil"/>
      </w:pBdr>
      <w:spacing w:line="240" w:lineRule="auto"/>
      <w:ind w:hanging="2"/>
      <w:jc w:val="right"/>
      <w:rPr>
        <w:color w:val="000000"/>
      </w:rPr>
    </w:pP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)</w:t>
    </w: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hidden="0" allowOverlap="1" wp14:anchorId="046E65AB" wp14:editId="1A3EF20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9C8860" w14:textId="77777777" w:rsidR="00F87E86" w:rsidRDefault="00F87E86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ustin Gonzalez">
    <w15:presenceInfo w15:providerId="Windows Live" w15:userId="3417880eb394ea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92"/>
    <w:rsid w:val="002311FB"/>
    <w:rsid w:val="002C0FC2"/>
    <w:rsid w:val="002F7283"/>
    <w:rsid w:val="00391E0B"/>
    <w:rsid w:val="003A0020"/>
    <w:rsid w:val="004B635C"/>
    <w:rsid w:val="0053754E"/>
    <w:rsid w:val="005639CD"/>
    <w:rsid w:val="005B5538"/>
    <w:rsid w:val="005F3415"/>
    <w:rsid w:val="0066176A"/>
    <w:rsid w:val="00726549"/>
    <w:rsid w:val="00755119"/>
    <w:rsid w:val="008441B3"/>
    <w:rsid w:val="0097763B"/>
    <w:rsid w:val="009F5592"/>
    <w:rsid w:val="00A23143"/>
    <w:rsid w:val="00A70838"/>
    <w:rsid w:val="00B20404"/>
    <w:rsid w:val="00C32B0D"/>
    <w:rsid w:val="00C44227"/>
    <w:rsid w:val="00C507C2"/>
    <w:rsid w:val="00CE30F7"/>
    <w:rsid w:val="00D4394E"/>
    <w:rsid w:val="00DB73F1"/>
    <w:rsid w:val="00E15992"/>
    <w:rsid w:val="00F30BAA"/>
    <w:rsid w:val="00F87E86"/>
    <w:rsid w:val="00FB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FA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9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1599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776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76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76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76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763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763B"/>
    <w:pPr>
      <w:spacing w:line="240" w:lineRule="auto"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1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E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87E8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E86"/>
  </w:style>
  <w:style w:type="paragraph" w:styleId="Piedepgina">
    <w:name w:val="footer"/>
    <w:basedOn w:val="Normal"/>
    <w:link w:val="PiedepginaCar"/>
    <w:uiPriority w:val="99"/>
    <w:unhideWhenUsed/>
    <w:rsid w:val="00F87E8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9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1599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776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76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76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76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763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763B"/>
    <w:pPr>
      <w:spacing w:line="240" w:lineRule="auto"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1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E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87E8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E86"/>
  </w:style>
  <w:style w:type="paragraph" w:styleId="Piedepgina">
    <w:name w:val="footer"/>
    <w:basedOn w:val="Normal"/>
    <w:link w:val="PiedepginaCar"/>
    <w:uiPriority w:val="99"/>
    <w:unhideWhenUsed/>
    <w:rsid w:val="00F87E8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nella.camiletti@agro.unc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valentinuzzi@agro.unc.edu.ar" TargetMode="Externa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leman@agro.unc.edu.ar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Usuario de Windows</cp:lastModifiedBy>
  <cp:revision>4</cp:revision>
  <dcterms:created xsi:type="dcterms:W3CDTF">2022-08-18T15:28:00Z</dcterms:created>
  <dcterms:modified xsi:type="dcterms:W3CDTF">2022-08-23T17:47:00Z</dcterms:modified>
</cp:coreProperties>
</file>