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0CDC" w14:textId="77777777" w:rsidR="0024584A" w:rsidRDefault="00DC71C3" w:rsidP="0024584A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eastAsia="Times New Roman"/>
          <w:b/>
          <w:bCs/>
          <w:color w:val="201F1E"/>
          <w:position w:val="0"/>
          <w:lang w:eastAsia="es-AR"/>
        </w:rPr>
      </w:pPr>
      <w:r>
        <w:rPr>
          <w:rFonts w:eastAsia="Times New Roman"/>
          <w:b/>
          <w:bCs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 xml:space="preserve">Uso de un </w:t>
      </w:r>
      <w:proofErr w:type="spellStart"/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>biosurfactante</w:t>
      </w:r>
      <w:proofErr w:type="spellEnd"/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 xml:space="preserve"> producido por </w:t>
      </w:r>
      <w:proofErr w:type="spellStart"/>
      <w:r w:rsidR="0024584A" w:rsidRPr="0024584A">
        <w:rPr>
          <w:rFonts w:eastAsia="Times New Roman"/>
          <w:b/>
          <w:bCs/>
          <w:i/>
          <w:iCs/>
          <w:color w:val="201F1E"/>
          <w:position w:val="0"/>
          <w:lang w:eastAsia="es-AR"/>
        </w:rPr>
        <w:t>Lactiplantibacillus</w:t>
      </w:r>
      <w:proofErr w:type="spellEnd"/>
      <w:r>
        <w:rPr>
          <w:rFonts w:eastAsia="Times New Roman"/>
          <w:b/>
          <w:bCs/>
          <w:i/>
          <w:iCs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b/>
          <w:bCs/>
          <w:i/>
          <w:iCs/>
          <w:color w:val="201F1E"/>
          <w:position w:val="0"/>
          <w:lang w:eastAsia="es-AR"/>
        </w:rPr>
        <w:t>plantarum</w:t>
      </w:r>
      <w:r w:rsidR="0024584A" w:rsidRPr="0024584A">
        <w:rPr>
          <w:rFonts w:eastAsia="Times New Roman"/>
          <w:b/>
          <w:bCs/>
          <w:color w:val="201F1E"/>
          <w:position w:val="0"/>
          <w:lang w:eastAsia="es-AR"/>
        </w:rPr>
        <w:t>Tw226 para estabilizar emulsiones o/w</w:t>
      </w:r>
    </w:p>
    <w:p w14:paraId="23F85B18" w14:textId="77777777" w:rsidR="0024584A" w:rsidRPr="0024584A" w:rsidRDefault="0024584A" w:rsidP="0024584A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09CB7546" w14:textId="7339CD00" w:rsidR="0024584A" w:rsidRDefault="00853711" w:rsidP="00853711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color w:val="201F1E"/>
          <w:position w:val="0"/>
          <w:vertAlign w:val="superscript"/>
          <w:lang w:eastAsia="es-AR"/>
        </w:rPr>
      </w:pPr>
      <w:r>
        <w:rPr>
          <w:rFonts w:eastAsia="Times New Roman"/>
          <w:color w:val="201F1E"/>
          <w:position w:val="0"/>
          <w:lang w:eastAsia="es-AR"/>
        </w:rPr>
        <w:t>Lara VM (1,2)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, </w:t>
      </w:r>
      <w:r>
        <w:rPr>
          <w:rFonts w:eastAsia="Times New Roman"/>
          <w:color w:val="201F1E"/>
          <w:position w:val="0"/>
          <w:lang w:eastAsia="es-AR"/>
        </w:rPr>
        <w:t>Vallejo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 M</w:t>
      </w:r>
      <w:r>
        <w:rPr>
          <w:rFonts w:eastAsia="Times New Roman"/>
          <w:color w:val="201F1E"/>
          <w:position w:val="0"/>
          <w:lang w:eastAsia="es-AR"/>
        </w:rPr>
        <w:t xml:space="preserve"> (3)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, </w:t>
      </w:r>
      <w:proofErr w:type="spellStart"/>
      <w:r>
        <w:rPr>
          <w:rFonts w:eastAsia="Times New Roman"/>
          <w:color w:val="201F1E"/>
          <w:position w:val="0"/>
          <w:lang w:eastAsia="es-AR"/>
        </w:rPr>
        <w:t>Marguet</w:t>
      </w:r>
      <w:proofErr w:type="spellEnd"/>
      <w:r w:rsidRPr="0024584A">
        <w:rPr>
          <w:rFonts w:eastAsia="Times New Roman"/>
          <w:color w:val="201F1E"/>
          <w:position w:val="0"/>
          <w:lang w:eastAsia="es-AR"/>
        </w:rPr>
        <w:t xml:space="preserve"> E</w:t>
      </w:r>
      <w:r>
        <w:rPr>
          <w:rFonts w:eastAsia="Times New Roman"/>
          <w:color w:val="201F1E"/>
          <w:position w:val="0"/>
          <w:lang w:eastAsia="es-AR"/>
        </w:rPr>
        <w:t xml:space="preserve"> (3)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, </w:t>
      </w:r>
      <w:proofErr w:type="spellStart"/>
      <w:r>
        <w:rPr>
          <w:rFonts w:eastAsia="Times New Roman"/>
          <w:color w:val="201F1E"/>
          <w:position w:val="0"/>
          <w:lang w:eastAsia="es-AR"/>
        </w:rPr>
        <w:t>Gliemmo</w:t>
      </w:r>
      <w:bookmarkStart w:id="0" w:name="_GoBack"/>
      <w:bookmarkEnd w:id="0"/>
      <w:proofErr w:type="spellEnd"/>
      <w:r>
        <w:rPr>
          <w:rFonts w:eastAsia="Times New Roman"/>
          <w:color w:val="201F1E"/>
          <w:position w:val="0"/>
          <w:lang w:eastAsia="es-AR"/>
        </w:rPr>
        <w:t xml:space="preserve"> MF (1,2)</w:t>
      </w:r>
      <w:r w:rsidRPr="0024584A">
        <w:rPr>
          <w:rFonts w:eastAsia="Times New Roman"/>
          <w:color w:val="201F1E"/>
          <w:position w:val="0"/>
          <w:lang w:eastAsia="es-AR"/>
        </w:rPr>
        <w:t>,</w:t>
      </w:r>
      <w:r>
        <w:rPr>
          <w:rFonts w:eastAsia="Times New Roman"/>
          <w:color w:val="201F1E"/>
          <w:position w:val="0"/>
          <w:lang w:eastAsia="es-AR"/>
        </w:rPr>
        <w:t xml:space="preserve"> Campos CA (1,2).</w:t>
      </w:r>
    </w:p>
    <w:p w14:paraId="57C8497D" w14:textId="77777777" w:rsidR="00C701E5" w:rsidRPr="0024584A" w:rsidRDefault="00C701E5" w:rsidP="0024584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5D5EB1D4" w14:textId="0212EBA7" w:rsidR="0024584A" w:rsidRPr="00853711" w:rsidRDefault="00853711" w:rsidP="00853711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>
        <w:rPr>
          <w:rFonts w:eastAsia="Times New Roman"/>
          <w:color w:val="000000"/>
          <w:position w:val="0"/>
          <w:lang w:eastAsia="es-AR"/>
        </w:rPr>
        <w:t xml:space="preserve">(1) </w:t>
      </w:r>
      <w:r w:rsidR="0024584A" w:rsidRPr="00853711">
        <w:rPr>
          <w:rFonts w:eastAsia="Times New Roman"/>
          <w:color w:val="000000"/>
          <w:position w:val="0"/>
          <w:lang w:eastAsia="es-AR"/>
        </w:rPr>
        <w:t>Universidad de Buenos Aires, Facultad de Ciencias Exactas y Naturales, Departamento de Industrias. Buenos Aires, Argentina.</w:t>
      </w:r>
    </w:p>
    <w:p w14:paraId="14D90316" w14:textId="7E130A13" w:rsidR="0024584A" w:rsidRPr="00853711" w:rsidRDefault="00853711" w:rsidP="00853711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>
        <w:rPr>
          <w:rFonts w:eastAsia="Times New Roman"/>
          <w:color w:val="000000"/>
          <w:position w:val="0"/>
          <w:lang w:eastAsia="es-AR"/>
        </w:rPr>
        <w:t xml:space="preserve">(2) </w:t>
      </w:r>
      <w:r w:rsidR="0024584A" w:rsidRPr="00853711">
        <w:rPr>
          <w:rFonts w:eastAsia="Times New Roman"/>
          <w:color w:val="000000"/>
          <w:position w:val="0"/>
          <w:lang w:eastAsia="es-AR"/>
        </w:rPr>
        <w:t>CONICET - Universidad de Buenos Aires, Instituto de Tecnología de Alimentos y Procesos Químicos (ITAPROQ). Buenos Aires, Argentina.</w:t>
      </w:r>
    </w:p>
    <w:p w14:paraId="64581A23" w14:textId="67A5FC51" w:rsidR="0024584A" w:rsidRPr="00853711" w:rsidRDefault="00853711" w:rsidP="00853711">
      <w:pPr>
        <w:suppressAutoHyphens w:val="0"/>
        <w:spacing w:after="12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 w:rsidRPr="00853711">
        <w:rPr>
          <w:rFonts w:eastAsia="Times New Roman"/>
          <w:color w:val="000000"/>
          <w:position w:val="0"/>
          <w:lang w:eastAsia="es-AR"/>
        </w:rPr>
        <w:t>(3</w:t>
      </w:r>
      <w:r>
        <w:rPr>
          <w:rFonts w:eastAsia="Times New Roman"/>
          <w:color w:val="000000"/>
          <w:position w:val="0"/>
          <w:lang w:eastAsia="es-AR"/>
        </w:rPr>
        <w:t xml:space="preserve">) </w:t>
      </w:r>
      <w:r w:rsidR="0024584A" w:rsidRPr="00853711">
        <w:rPr>
          <w:rFonts w:eastAsia="Times New Roman"/>
          <w:color w:val="000000"/>
          <w:position w:val="0"/>
          <w:lang w:eastAsia="es-AR"/>
        </w:rPr>
        <w:t>Laboratorio de Biotecnología Bacteriana, Facultad de Ciencias Naturales y Cs. de la Salud, Universidad Nacional de la Patagonia San Juan Bosco, Argentina.</w:t>
      </w:r>
    </w:p>
    <w:p w14:paraId="22EFA4EE" w14:textId="0D3ECE7E" w:rsidR="0024584A" w:rsidRDefault="00F44529" w:rsidP="0024584A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  <w:hyperlink r:id="rId9" w:history="1">
        <w:r w:rsidR="009404B9" w:rsidRPr="007E0671">
          <w:rPr>
            <w:rStyle w:val="Hipervnculo"/>
            <w:rFonts w:eastAsia="Times New Roman"/>
            <w:position w:val="0"/>
            <w:lang w:eastAsia="es-AR"/>
          </w:rPr>
          <w:t>virginiamlara@gmail.com</w:t>
        </w:r>
      </w:hyperlink>
    </w:p>
    <w:p w14:paraId="2EBC93CD" w14:textId="77777777" w:rsidR="009404B9" w:rsidRPr="009404B9" w:rsidRDefault="009404B9" w:rsidP="0024584A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</w:p>
    <w:p w14:paraId="412B8698" w14:textId="316EF4C3" w:rsidR="002F7F5B" w:rsidRDefault="00094D96" w:rsidP="002F7F5B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>
        <w:rPr>
          <w:rFonts w:eastAsia="Times New Roman"/>
          <w:color w:val="000000"/>
          <w:position w:val="0"/>
          <w:lang w:eastAsia="es-AR"/>
        </w:rPr>
        <w:t xml:space="preserve">Los surfactantes son aditivos ampliamente utilizados para la estabilización de emulsiones alimentarias, </w:t>
      </w:r>
      <w:r w:rsidR="00275313">
        <w:rPr>
          <w:rFonts w:eastAsia="Times New Roman"/>
          <w:color w:val="000000"/>
          <w:position w:val="0"/>
          <w:lang w:eastAsia="es-AR"/>
        </w:rPr>
        <w:t>siendo de gran</w:t>
      </w:r>
      <w:r w:rsidR="00D25EE5">
        <w:rPr>
          <w:rFonts w:eastAsia="Times New Roman"/>
          <w:color w:val="000000"/>
          <w:position w:val="0"/>
          <w:lang w:eastAsia="es-AR"/>
        </w:rPr>
        <w:t xml:space="preserve"> interés aquellos que provienen de fuentes naturales</w:t>
      </w:r>
      <w:r w:rsidR="00E80AAB">
        <w:rPr>
          <w:rFonts w:eastAsia="Times New Roman"/>
          <w:color w:val="000000"/>
          <w:position w:val="0"/>
          <w:lang w:eastAsia="es-AR"/>
        </w:rPr>
        <w:t>,</w:t>
      </w:r>
      <w:r w:rsidR="00C701E5">
        <w:rPr>
          <w:rFonts w:eastAsia="Times New Roman"/>
          <w:color w:val="000000"/>
          <w:position w:val="0"/>
          <w:lang w:eastAsia="es-AR"/>
        </w:rPr>
        <w:t xml:space="preserve"> </w:t>
      </w:r>
      <w:r w:rsidR="00E80AAB">
        <w:rPr>
          <w:rFonts w:eastAsia="Times New Roman"/>
          <w:color w:val="000000"/>
          <w:position w:val="0"/>
          <w:lang w:eastAsia="es-AR"/>
        </w:rPr>
        <w:t xml:space="preserve">comúnmente </w:t>
      </w:r>
      <w:r w:rsidR="00275313">
        <w:rPr>
          <w:rFonts w:eastAsia="Times New Roman"/>
          <w:color w:val="000000"/>
          <w:position w:val="0"/>
          <w:lang w:eastAsia="es-AR"/>
        </w:rPr>
        <w:t xml:space="preserve">denominados </w:t>
      </w:r>
      <w:proofErr w:type="spellStart"/>
      <w:r w:rsidR="00275313">
        <w:rPr>
          <w:rFonts w:eastAsia="Times New Roman"/>
          <w:color w:val="000000"/>
          <w:position w:val="0"/>
          <w:lang w:eastAsia="es-AR"/>
        </w:rPr>
        <w:t>biosurfactantes</w:t>
      </w:r>
      <w:proofErr w:type="spellEnd"/>
      <w:r w:rsidR="00E80AAB">
        <w:rPr>
          <w:rFonts w:eastAsia="Times New Roman"/>
          <w:color w:val="000000"/>
          <w:position w:val="0"/>
          <w:lang w:eastAsia="es-AR"/>
        </w:rPr>
        <w:t>. En particular, la búsqueda y caracterización</w:t>
      </w:r>
      <w:r w:rsidR="00DC71C3">
        <w:rPr>
          <w:rFonts w:eastAsia="Times New Roman"/>
          <w:color w:val="000000"/>
          <w:position w:val="0"/>
          <w:lang w:eastAsia="es-AR"/>
        </w:rPr>
        <w:t xml:space="preserve"> </w:t>
      </w:r>
      <w:r w:rsidR="00F35443">
        <w:rPr>
          <w:rFonts w:eastAsia="Times New Roman"/>
          <w:color w:val="000000"/>
          <w:position w:val="0"/>
          <w:lang w:eastAsia="es-AR"/>
        </w:rPr>
        <w:t xml:space="preserve">de aquellos producidos por bacterias ácido lácticas es </w:t>
      </w:r>
      <w:r w:rsidR="00275313">
        <w:rPr>
          <w:rFonts w:eastAsia="Times New Roman"/>
          <w:color w:val="000000"/>
          <w:position w:val="0"/>
          <w:lang w:eastAsia="es-AR"/>
        </w:rPr>
        <w:t>un área en crecimiento</w:t>
      </w:r>
      <w:r w:rsidR="000F09B6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En este trabajo se evaluó el uso de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biosurfactante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(BS) producido por </w:t>
      </w:r>
      <w:proofErr w:type="spellStart"/>
      <w:r w:rsidR="0024584A" w:rsidRPr="0024584A">
        <w:rPr>
          <w:rFonts w:eastAsia="Times New Roman"/>
          <w:i/>
          <w:iCs/>
          <w:color w:val="201F1E"/>
          <w:position w:val="0"/>
          <w:lang w:eastAsia="es-AR"/>
        </w:rPr>
        <w:t>Lactiplantibacillus</w:t>
      </w:r>
      <w:proofErr w:type="spellEnd"/>
      <w:r w:rsidR="007245E4">
        <w:rPr>
          <w:rFonts w:eastAsia="Times New Roman"/>
          <w:i/>
          <w:iCs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i/>
          <w:iCs/>
          <w:color w:val="201F1E"/>
          <w:position w:val="0"/>
          <w:lang w:eastAsia="es-AR"/>
        </w:rPr>
        <w:t>plantarum</w:t>
      </w:r>
      <w:r w:rsidR="0024584A" w:rsidRPr="0024584A">
        <w:rPr>
          <w:rFonts w:eastAsia="Times New Roman"/>
          <w:color w:val="201F1E"/>
          <w:position w:val="0"/>
          <w:lang w:eastAsia="es-AR"/>
        </w:rPr>
        <w:t>Tw226</w:t>
      </w:r>
      <w:r w:rsidR="00F35443">
        <w:rPr>
          <w:rFonts w:eastAsia="Times New Roman"/>
          <w:color w:val="201F1E"/>
          <w:position w:val="0"/>
          <w:lang w:eastAsia="es-AR"/>
        </w:rPr>
        <w:t>, cepa aislada en trabajos p</w:t>
      </w:r>
      <w:r w:rsidR="00C701E5">
        <w:rPr>
          <w:rFonts w:eastAsia="Times New Roman"/>
          <w:color w:val="201F1E"/>
          <w:position w:val="0"/>
          <w:lang w:eastAsia="es-AR"/>
        </w:rPr>
        <w:t>r</w:t>
      </w:r>
      <w:r w:rsidR="00F35443">
        <w:rPr>
          <w:rFonts w:eastAsia="Times New Roman"/>
          <w:color w:val="201F1E"/>
          <w:position w:val="0"/>
          <w:lang w:eastAsia="es-AR"/>
        </w:rPr>
        <w:t>evios a partir del medio marino,</w:t>
      </w:r>
      <w:r w:rsidR="007245E4">
        <w:rPr>
          <w:rFonts w:eastAsia="Times New Roman"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>para estabilizar emulsiones que contenían glucosa</w:t>
      </w:r>
      <w:r w:rsidR="00DC71C3">
        <w:rPr>
          <w:rFonts w:eastAsia="Times New Roman"/>
          <w:color w:val="000000"/>
          <w:position w:val="0"/>
          <w:lang w:eastAsia="es-AR"/>
        </w:rPr>
        <w:t xml:space="preserve"> (</w:t>
      </w:r>
      <w:proofErr w:type="spellStart"/>
      <w:r w:rsidR="00DC71C3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DC71C3">
        <w:rPr>
          <w:rFonts w:eastAsia="Times New Roman"/>
          <w:color w:val="000000"/>
          <w:position w:val="0"/>
          <w:lang w:eastAsia="es-AR"/>
        </w:rPr>
        <w:t xml:space="preserve">)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o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NaCl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en cantidad suficiente para deprimir </w:t>
      </w:r>
      <w:r w:rsidR="00C701E5">
        <w:rPr>
          <w:rFonts w:eastAsia="Times New Roman"/>
          <w:color w:val="000000"/>
          <w:position w:val="0"/>
          <w:lang w:eastAsia="es-AR"/>
        </w:rPr>
        <w:t>l</w:t>
      </w:r>
      <w:r w:rsidR="0024584A" w:rsidRPr="0024584A">
        <w:rPr>
          <w:rFonts w:eastAsia="Times New Roman"/>
          <w:color w:val="000000"/>
          <w:position w:val="0"/>
          <w:lang w:eastAsia="es-AR"/>
        </w:rPr>
        <w:t>a actividad de agua a 0,95. Con este fin se formularon las emulsiones utilizando aceite de girasol comercial al 10 % (m/m) como fase oleosa y como fase acuosa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una solución de goma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xántica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al 15 % (m/m) y BS en una concentración de 5.0 g/L a pH 6.00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D47086">
        <w:rPr>
          <w:rFonts w:eastAsia="Times New Roman"/>
          <w:color w:val="000000"/>
          <w:position w:val="0"/>
          <w:lang w:eastAsia="es-AR"/>
        </w:rPr>
        <w:t xml:space="preserve">ajustado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con ácido cítrico. Ambas fases se mezclaron utilizando un homogeneizador de alta velocidad Ultra-turraxT-8 IKA con un dispersor S8N-5G por 3.5 min a 24,000 rpm. El efecto de la adición de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NaCl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y </w:t>
      </w:r>
      <w:proofErr w:type="spellStart"/>
      <w:r w:rsidR="00DC71C3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se evaluó adicionando a la fase acuosa ambos humectantes en concentraciones de 5.0 % (m/m) </w:t>
      </w:r>
      <w:r w:rsidR="00D47086" w:rsidRPr="0024584A">
        <w:rPr>
          <w:rFonts w:eastAsia="Times New Roman"/>
          <w:color w:val="000000"/>
          <w:position w:val="0"/>
          <w:lang w:eastAsia="es-AR"/>
        </w:rPr>
        <w:t>o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 14.0 % (m/m). Como control se utilizaron soluciones libres de BS y/o de los humectantes. Las estabilidad de las emulsiones se evaluó mediante: i) </w:t>
      </w:r>
      <w:r w:rsidR="007245E4">
        <w:rPr>
          <w:rFonts w:eastAsia="Times New Roman"/>
          <w:color w:val="000000"/>
          <w:position w:val="0"/>
          <w:lang w:eastAsia="es-AR"/>
        </w:rPr>
        <w:t>l</w:t>
      </w:r>
      <w:r w:rsidR="0024584A" w:rsidRPr="0024584A">
        <w:rPr>
          <w:rFonts w:eastAsia="Times New Roman"/>
          <w:color w:val="000000"/>
          <w:position w:val="0"/>
          <w:lang w:eastAsia="es-AR"/>
        </w:rPr>
        <w:t>a determinación del Índice de Estabilidad después de 24</w:t>
      </w:r>
      <w:r w:rsidR="002F7F5B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2F7F5B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de la formulación (E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>,) y de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>l</w:t>
      </w:r>
      <w:r w:rsidR="00D47086">
        <w:rPr>
          <w:rFonts w:eastAsia="Times New Roman"/>
          <w:color w:val="000000"/>
          <w:position w:val="0"/>
          <w:lang w:eastAsia="es-AR"/>
        </w:rPr>
        <w:t>os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diámetro</w:t>
      </w:r>
      <w:r w:rsidR="00D47086">
        <w:rPr>
          <w:rFonts w:eastAsia="Times New Roman"/>
          <w:color w:val="000000"/>
          <w:position w:val="0"/>
          <w:lang w:eastAsia="es-AR"/>
        </w:rPr>
        <w:t>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de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Sauter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3,2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) y de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Broucker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24584A" w:rsidRPr="0024584A">
        <w:rPr>
          <w:rFonts w:eastAsia="Times New Roman"/>
          <w:color w:val="000000"/>
          <w:position w:val="0"/>
          <w:lang w:eastAsia="es-AR"/>
        </w:rPr>
        <w:t>) evaluado</w:t>
      </w:r>
      <w:r w:rsidR="00D47086">
        <w:rPr>
          <w:rFonts w:eastAsia="Times New Roman"/>
          <w:color w:val="000000"/>
          <w:position w:val="0"/>
          <w:lang w:eastAsia="es-AR"/>
        </w:rPr>
        <w:t>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por dispersión de luz estática con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Mastersizer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2000 y, ii) </w:t>
      </w:r>
      <w:r w:rsidR="007245E4">
        <w:rPr>
          <w:rFonts w:eastAsia="Times New Roman"/>
          <w:color w:val="000000"/>
          <w:position w:val="0"/>
          <w:lang w:eastAsia="es-AR"/>
        </w:rPr>
        <w:t xml:space="preserve">la </w:t>
      </w:r>
      <w:r w:rsidR="0024584A" w:rsidRPr="0024584A">
        <w:rPr>
          <w:rFonts w:eastAsia="Times New Roman"/>
          <w:color w:val="000000"/>
          <w:position w:val="0"/>
          <w:lang w:eastAsia="es-AR"/>
        </w:rPr>
        <w:t>observación por microscopia óptica. Se pudo identificar al NaCl como</w:t>
      </w:r>
      <w:r w:rsidR="002F7F5B">
        <w:rPr>
          <w:rFonts w:eastAsia="Times New Roman"/>
          <w:color w:val="000000"/>
          <w:position w:val="0"/>
          <w:lang w:eastAsia="es-AR"/>
        </w:rPr>
        <w:t xml:space="preserve"> un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factor que alteró notoriamente la estabilidad de las emulsiones ya que, en ausencia de BS, </w:t>
      </w:r>
      <w:r w:rsidR="002F7F5B">
        <w:rPr>
          <w:rFonts w:eastAsia="Times New Roman"/>
          <w:color w:val="000000"/>
          <w:position w:val="0"/>
          <w:lang w:eastAsia="es-AR"/>
        </w:rPr>
        <w:t>el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fue el más bajo (9,8%). La incorporación del BS aumentó el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780A6A">
        <w:rPr>
          <w:rFonts w:eastAsia="Times New Roman"/>
          <w:color w:val="000000"/>
          <w:position w:val="0"/>
          <w:vertAlign w:val="subscript"/>
          <w:lang w:eastAsia="es-AR"/>
        </w:rPr>
        <w:t xml:space="preserve">, </w:t>
      </w:r>
      <w:r w:rsidR="00780A6A">
        <w:rPr>
          <w:rFonts w:eastAsia="Times New Roman"/>
          <w:color w:val="000000"/>
          <w:position w:val="0"/>
          <w:lang w:eastAsia="es-AR"/>
        </w:rPr>
        <w:t>en el sistema sin humectante y con NaCl.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780A6A">
        <w:rPr>
          <w:rFonts w:eastAsia="Times New Roman"/>
          <w:color w:val="000000"/>
          <w:position w:val="0"/>
          <w:lang w:eastAsia="es-AR"/>
        </w:rPr>
        <w:t xml:space="preserve">En </w:t>
      </w:r>
      <w:r w:rsidR="0024584A" w:rsidRPr="0024584A">
        <w:rPr>
          <w:rFonts w:eastAsia="Times New Roman"/>
          <w:color w:val="000000"/>
          <w:position w:val="0"/>
          <w:lang w:eastAsia="es-AR"/>
        </w:rPr>
        <w:t>particular para</w:t>
      </w:r>
      <w:r w:rsidR="007245E4">
        <w:rPr>
          <w:rFonts w:eastAsia="Times New Roman"/>
          <w:color w:val="000000"/>
          <w:position w:val="0"/>
          <w:lang w:eastAsia="es-AR"/>
        </w:rPr>
        <w:t xml:space="preserve"> este</w:t>
      </w:r>
      <w:r w:rsidR="00C701E5">
        <w:rPr>
          <w:rFonts w:eastAsia="Times New Roman"/>
          <w:color w:val="000000"/>
          <w:position w:val="0"/>
          <w:lang w:eastAsia="es-AR"/>
        </w:rPr>
        <w:t>,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>el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fue de 95%.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780A6A">
        <w:rPr>
          <w:rFonts w:eastAsia="Times New Roman"/>
          <w:color w:val="000000"/>
          <w:position w:val="0"/>
          <w:lang w:eastAsia="es-AR"/>
        </w:rPr>
        <w:t xml:space="preserve">En el caso del sistema con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780A6A">
        <w:rPr>
          <w:rFonts w:eastAsia="Times New Roman"/>
          <w:color w:val="000000"/>
          <w:position w:val="0"/>
          <w:lang w:eastAsia="es-AR"/>
        </w:rPr>
        <w:t xml:space="preserve">, este humectante aporto a la estabilidad sin verse efectos significativos por parte del </w:t>
      </w:r>
      <w:r w:rsidR="00780A6A" w:rsidRPr="0024584A">
        <w:rPr>
          <w:rFonts w:eastAsia="Times New Roman"/>
          <w:color w:val="000000"/>
          <w:position w:val="0"/>
          <w:lang w:eastAsia="es-AR"/>
        </w:rPr>
        <w:t>BS</w:t>
      </w:r>
      <w:r w:rsidR="00B64211">
        <w:rPr>
          <w:rFonts w:eastAsia="Times New Roman"/>
          <w:color w:val="000000"/>
          <w:position w:val="0"/>
          <w:lang w:eastAsia="es-AR"/>
        </w:rPr>
        <w:t>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El análisis de tamaño de gota demostró que para los sistemas sin humectantes el BS no </w:t>
      </w:r>
      <w:r w:rsidR="007245E4">
        <w:rPr>
          <w:rFonts w:eastAsia="Times New Roman"/>
          <w:color w:val="000000"/>
          <w:position w:val="0"/>
          <w:lang w:eastAsia="es-AR"/>
        </w:rPr>
        <w:t>contribuyó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 la formación de gotas más pequeñas</w:t>
      </w:r>
      <w:r w:rsidR="00B64211">
        <w:rPr>
          <w:rFonts w:eastAsia="Times New Roman"/>
          <w:color w:val="000000"/>
          <w:position w:val="0"/>
          <w:lang w:eastAsia="es-AR"/>
        </w:rPr>
        <w:t>, pero si a la permane</w:t>
      </w:r>
      <w:r w:rsidR="00C701E5">
        <w:rPr>
          <w:rFonts w:eastAsia="Times New Roman"/>
          <w:color w:val="000000"/>
          <w:position w:val="0"/>
          <w:lang w:eastAsia="es-AR"/>
        </w:rPr>
        <w:t>nci</w:t>
      </w:r>
      <w:r w:rsidR="00B64211">
        <w:rPr>
          <w:rFonts w:eastAsia="Times New Roman"/>
          <w:color w:val="000000"/>
          <w:position w:val="0"/>
          <w:lang w:eastAsia="es-AR"/>
        </w:rPr>
        <w:t>a del tamaño de las gotas sin presentarse cambios en el D</w:t>
      </w:r>
      <w:r w:rsidR="00B64211" w:rsidRPr="00B64211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B64211">
        <w:rPr>
          <w:rFonts w:eastAsia="Times New Roman"/>
          <w:color w:val="000000"/>
          <w:position w:val="0"/>
          <w:lang w:eastAsia="es-AR"/>
        </w:rPr>
        <w:t xml:space="preserve"> luego de 24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En el sistema con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NaCl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E80AAB">
        <w:rPr>
          <w:rFonts w:eastAsia="Times New Roman"/>
          <w:color w:val="000000"/>
          <w:position w:val="0"/>
          <w:lang w:eastAsia="es-AR"/>
        </w:rPr>
        <w:t>ó</w:t>
      </w:r>
      <w:proofErr w:type="spellEnd"/>
      <w:r w:rsidR="00E80AAB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,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el BS </w:t>
      </w:r>
      <w:r w:rsidR="00B64211">
        <w:rPr>
          <w:rFonts w:eastAsia="Times New Roman"/>
          <w:color w:val="000000"/>
          <w:position w:val="0"/>
          <w:lang w:eastAsia="es-AR"/>
        </w:rPr>
        <w:t>facilitó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la formación de gotas pequeñas, habiendo diferencias significativas en el 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 xml:space="preserve">3,2 </w:t>
      </w:r>
      <w:r w:rsidR="0024584A" w:rsidRPr="0024584A">
        <w:rPr>
          <w:rFonts w:eastAsia="Times New Roman"/>
          <w:color w:val="000000"/>
          <w:position w:val="0"/>
          <w:lang w:eastAsia="es-AR"/>
        </w:rPr>
        <w:t>entre sistemas homólogos con y sin BS</w:t>
      </w:r>
      <w:r w:rsidR="00B64211">
        <w:rPr>
          <w:rFonts w:eastAsia="Times New Roman"/>
          <w:color w:val="000000"/>
          <w:position w:val="0"/>
          <w:lang w:eastAsia="es-AR"/>
        </w:rPr>
        <w:t xml:space="preserve"> en el tiempo inicial</w:t>
      </w:r>
      <w:r w:rsidR="0024584A" w:rsidRPr="0024584A">
        <w:rPr>
          <w:rFonts w:eastAsia="Times New Roman"/>
          <w:color w:val="000000"/>
          <w:position w:val="0"/>
          <w:lang w:eastAsia="es-AR"/>
        </w:rPr>
        <w:t>.</w:t>
      </w:r>
      <w:r w:rsidR="00B64211">
        <w:rPr>
          <w:rFonts w:eastAsia="Times New Roman"/>
          <w:color w:val="000000"/>
          <w:position w:val="0"/>
          <w:lang w:eastAsia="es-AR"/>
        </w:rPr>
        <w:t xml:space="preserve"> En estos sistemas tampoco se vieron cambios en el D</w:t>
      </w:r>
      <w:r w:rsidR="00B64211" w:rsidRPr="00B64211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E80AAB">
        <w:rPr>
          <w:rFonts w:eastAsia="Times New Roman"/>
          <w:color w:val="000000"/>
          <w:position w:val="0"/>
          <w:vertAlign w:val="subscript"/>
          <w:lang w:eastAsia="es-AR"/>
        </w:rPr>
        <w:t xml:space="preserve"> </w:t>
      </w:r>
      <w:r w:rsidR="00B64211">
        <w:rPr>
          <w:rFonts w:eastAsia="Times New Roman"/>
          <w:color w:val="000000"/>
          <w:position w:val="0"/>
          <w:lang w:eastAsia="es-AR"/>
        </w:rPr>
        <w:t xml:space="preserve">luego de 24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>Se destaca que, en el sistema con NaCl, al incorporar</w:t>
      </w:r>
      <w:r w:rsidR="00D47086">
        <w:rPr>
          <w:rFonts w:eastAsia="Times New Roman"/>
          <w:color w:val="000000"/>
          <w:position w:val="0"/>
          <w:lang w:eastAsia="es-AR"/>
        </w:rPr>
        <w:t>se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el BS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el 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3,2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disminuyó de 68,1 ± 6,4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μm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 </w:t>
      </w:r>
      <w:r w:rsidR="00C701E5">
        <w:rPr>
          <w:rFonts w:eastAsia="Times New Roman"/>
          <w:color w:val="000000"/>
          <w:position w:val="0"/>
          <w:lang w:eastAsia="es-AR"/>
        </w:rPr>
        <w:t xml:space="preserve">22, 05 </w:t>
      </w:r>
      <w:proofErr w:type="spellStart"/>
      <w:r w:rsidR="00C701E5">
        <w:rPr>
          <w:rFonts w:eastAsia="Times New Roman"/>
          <w:color w:val="000000"/>
          <w:position w:val="0"/>
          <w:lang w:eastAsia="es-AR"/>
        </w:rPr>
        <w:t>μm</w:t>
      </w:r>
      <w:proofErr w:type="spellEnd"/>
      <w:r w:rsidR="00C701E5">
        <w:rPr>
          <w:rFonts w:eastAsia="Times New Roman"/>
          <w:color w:val="000000"/>
          <w:position w:val="0"/>
          <w:lang w:eastAsia="es-AR"/>
        </w:rPr>
        <w:t>, en el tiempo inicial;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este efecto también fue muy notorio en el análisis de la morfología por microscopía.</w:t>
      </w:r>
      <w:r w:rsidR="00BE1573">
        <w:rPr>
          <w:rFonts w:eastAsia="Times New Roman"/>
          <w:color w:val="000000"/>
          <w:position w:val="0"/>
          <w:lang w:eastAsia="es-AR"/>
        </w:rPr>
        <w:t xml:space="preserve"> Por lo tanto, e</w:t>
      </w:r>
      <w:r w:rsidR="00E80AAB">
        <w:rPr>
          <w:rFonts w:eastAsia="Times New Roman"/>
          <w:color w:val="000000"/>
          <w:position w:val="0"/>
          <w:lang w:eastAsia="es-AR"/>
        </w:rPr>
        <w:t>ste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BS puede </w:t>
      </w:r>
      <w:r w:rsidR="0024584A" w:rsidRPr="0024584A">
        <w:rPr>
          <w:rFonts w:eastAsia="Times New Roman"/>
          <w:color w:val="000000"/>
          <w:position w:val="0"/>
          <w:lang w:eastAsia="es-AR"/>
        </w:rPr>
        <w:lastRenderedPageBreak/>
        <w:t xml:space="preserve">identificarse como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biocompuesto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capaz de aportar estabilidad a emulsiones O/W</w:t>
      </w:r>
      <w:r w:rsidR="00C701E5">
        <w:rPr>
          <w:rFonts w:eastAsia="Times New Roman"/>
          <w:color w:val="000000"/>
          <w:position w:val="0"/>
          <w:lang w:eastAsia="es-AR"/>
        </w:rPr>
        <w:t>,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especialmente a aquella</w:t>
      </w:r>
      <w:r w:rsidR="004A6956">
        <w:rPr>
          <w:rFonts w:eastAsia="Times New Roman"/>
          <w:color w:val="000000"/>
          <w:position w:val="0"/>
          <w:lang w:eastAsia="es-AR"/>
        </w:rPr>
        <w:t>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que poseen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NaCl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>. </w:t>
      </w:r>
    </w:p>
    <w:p w14:paraId="2DFF2950" w14:textId="77777777" w:rsidR="002F7F5B" w:rsidRDefault="002F7F5B" w:rsidP="002F7F5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0D1227C0" w14:textId="44AF19D9" w:rsidR="007B0733" w:rsidRDefault="0024584A" w:rsidP="00E535E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24584A">
        <w:rPr>
          <w:rFonts w:eastAsia="Times New Roman"/>
          <w:b/>
          <w:bCs/>
          <w:color w:val="000000"/>
          <w:position w:val="0"/>
          <w:lang w:eastAsia="es-AR"/>
        </w:rPr>
        <w:t>Palabras clave:</w:t>
      </w:r>
      <w:r w:rsidR="00F35443">
        <w:rPr>
          <w:rFonts w:eastAsia="Times New Roman"/>
          <w:b/>
          <w:bCs/>
          <w:color w:val="000000"/>
          <w:position w:val="0"/>
          <w:lang w:eastAsia="es-AR"/>
        </w:rPr>
        <w:t xml:space="preserve"> </w:t>
      </w:r>
      <w:r w:rsidRPr="0024584A">
        <w:rPr>
          <w:rFonts w:eastAsia="Times New Roman"/>
          <w:color w:val="000000"/>
          <w:position w:val="0"/>
          <w:lang w:eastAsia="es-AR"/>
        </w:rPr>
        <w:t xml:space="preserve">Bacterias </w:t>
      </w:r>
      <w:r w:rsidR="00275313" w:rsidRPr="0024584A">
        <w:rPr>
          <w:rFonts w:eastAsia="Times New Roman"/>
          <w:color w:val="000000"/>
          <w:position w:val="0"/>
          <w:lang w:eastAsia="es-AR"/>
        </w:rPr>
        <w:t>ácido lácticas</w:t>
      </w:r>
      <w:r w:rsidRPr="0024584A">
        <w:rPr>
          <w:rFonts w:eastAsia="Times New Roman"/>
          <w:color w:val="000000"/>
          <w:position w:val="0"/>
          <w:lang w:eastAsia="es-AR"/>
        </w:rPr>
        <w:t>, humectantes</w:t>
      </w:r>
      <w:r w:rsidR="00E535EA">
        <w:rPr>
          <w:rFonts w:eastAsia="Times New Roman"/>
          <w:color w:val="000000"/>
          <w:position w:val="0"/>
          <w:lang w:eastAsia="es-AR"/>
        </w:rPr>
        <w:t xml:space="preserve">, </w:t>
      </w:r>
      <w:proofErr w:type="spellStart"/>
      <w:r w:rsidR="00E535EA">
        <w:rPr>
          <w:rFonts w:eastAsia="Times New Roman"/>
          <w:color w:val="000000"/>
          <w:position w:val="0"/>
          <w:lang w:eastAsia="es-AR"/>
        </w:rPr>
        <w:t>biocompuesto</w:t>
      </w:r>
      <w:proofErr w:type="spellEnd"/>
    </w:p>
    <w:sectPr w:rsidR="007B0733" w:rsidSect="005659B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2376" w14:textId="77777777" w:rsidR="00F44529" w:rsidRDefault="00F445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981F2B" w14:textId="77777777" w:rsidR="00F44529" w:rsidRDefault="00F445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42C7" w14:textId="77777777" w:rsidR="00F44529" w:rsidRDefault="00F445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80E957" w14:textId="77777777" w:rsidR="00F44529" w:rsidRDefault="00F445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D1C1" w14:textId="77777777" w:rsidR="007B0733" w:rsidRDefault="00E962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C59DFC3" wp14:editId="3EEA0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3F80"/>
    <w:multiLevelType w:val="hybridMultilevel"/>
    <w:tmpl w:val="290032A8"/>
    <w:lvl w:ilvl="0" w:tplc="D3D2AA84">
      <w:start w:val="1"/>
      <w:numFmt w:val="decimal"/>
      <w:lvlText w:val="(%1)"/>
      <w:lvlJc w:val="left"/>
      <w:pPr>
        <w:ind w:left="720" w:hanging="360"/>
      </w:pPr>
      <w:rPr>
        <w:rFonts w:hint="default"/>
        <w:color w:val="201F1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OwNDUzsjQwtDRQ0lEKTi0uzszPAykwqgUAPQ3HiiwAAAA="/>
  </w:docVars>
  <w:rsids>
    <w:rsidRoot w:val="007B0733"/>
    <w:rsid w:val="00094D96"/>
    <w:rsid w:val="000D4935"/>
    <w:rsid w:val="000F09B6"/>
    <w:rsid w:val="0024584A"/>
    <w:rsid w:val="00275313"/>
    <w:rsid w:val="002F7F5B"/>
    <w:rsid w:val="004A6956"/>
    <w:rsid w:val="005659B1"/>
    <w:rsid w:val="0059375E"/>
    <w:rsid w:val="007245E4"/>
    <w:rsid w:val="00777887"/>
    <w:rsid w:val="00780A6A"/>
    <w:rsid w:val="007B0733"/>
    <w:rsid w:val="00853711"/>
    <w:rsid w:val="009404B9"/>
    <w:rsid w:val="00AB5996"/>
    <w:rsid w:val="00B64211"/>
    <w:rsid w:val="00BB6092"/>
    <w:rsid w:val="00BE1573"/>
    <w:rsid w:val="00C701E5"/>
    <w:rsid w:val="00D25EE5"/>
    <w:rsid w:val="00D26211"/>
    <w:rsid w:val="00D47086"/>
    <w:rsid w:val="00DC71C3"/>
    <w:rsid w:val="00E535EA"/>
    <w:rsid w:val="00E80AAB"/>
    <w:rsid w:val="00E96269"/>
    <w:rsid w:val="00F35443"/>
    <w:rsid w:val="00F44529"/>
    <w:rsid w:val="00F7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C6E38"/>
  <w15:docId w15:val="{5908D8E2-2164-4F68-803A-FAE548DA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B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659B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659B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659B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659B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659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659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65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659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5659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659B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659B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659B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659B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659B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659B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659B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5659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584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DC71C3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85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irginiaml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D541BD-2159-4D8C-B2FB-B7376EB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</cp:lastModifiedBy>
  <cp:revision>2</cp:revision>
  <dcterms:created xsi:type="dcterms:W3CDTF">2022-07-13T20:44:00Z</dcterms:created>
  <dcterms:modified xsi:type="dcterms:W3CDTF">2022-08-03T11:31:00Z</dcterms:modified>
</cp:coreProperties>
</file>