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C6" w:rsidRDefault="00D470D9">
      <w:pPr>
        <w:pBdr>
          <w:top w:val="nil"/>
          <w:left w:val="nil"/>
          <w:bottom w:val="nil"/>
          <w:right w:val="nil"/>
          <w:between w:val="nil"/>
        </w:pBdr>
        <w:spacing w:after="0" w:line="240" w:lineRule="auto"/>
        <w:ind w:left="0" w:hanging="2"/>
        <w:jc w:val="center"/>
        <w:rPr>
          <w:b/>
        </w:rPr>
      </w:pPr>
      <w:r>
        <w:rPr>
          <w:b/>
        </w:rPr>
        <w:t>Caracterización de harinas y aislados proteicos de chañar</w:t>
      </w:r>
    </w:p>
    <w:p w:rsidR="00676DC6" w:rsidRDefault="00D470D9">
      <w:pPr>
        <w:spacing w:after="0" w:line="240" w:lineRule="auto"/>
        <w:ind w:left="0" w:hanging="2"/>
        <w:jc w:val="center"/>
      </w:pPr>
      <w:r>
        <w:t xml:space="preserve"> </w:t>
      </w:r>
    </w:p>
    <w:p w:rsidR="00676DC6" w:rsidRDefault="00D470D9">
      <w:pPr>
        <w:spacing w:after="0"/>
        <w:ind w:left="0" w:hanging="2"/>
      </w:pPr>
      <w:proofErr w:type="spellStart"/>
      <w:r>
        <w:t>Molinari</w:t>
      </w:r>
      <w:proofErr w:type="spellEnd"/>
      <w:r>
        <w:t xml:space="preserve"> G (2), Fernández Sosa EI (1), Chaves MG (1)</w:t>
      </w:r>
    </w:p>
    <w:p w:rsidR="00676DC6" w:rsidRDefault="00676DC6">
      <w:pPr>
        <w:spacing w:after="0"/>
        <w:ind w:left="0" w:hanging="2"/>
        <w:jc w:val="center"/>
      </w:pPr>
    </w:p>
    <w:p w:rsidR="00676DC6" w:rsidRDefault="00D470D9">
      <w:pPr>
        <w:spacing w:after="0"/>
        <w:ind w:left="0" w:hanging="2"/>
        <w:jc w:val="left"/>
      </w:pPr>
      <w:r>
        <w:t xml:space="preserve">(1) IQUIBA-NEA. </w:t>
      </w:r>
      <w:proofErr w:type="spellStart"/>
      <w:r>
        <w:t>FaCENA</w:t>
      </w:r>
      <w:proofErr w:type="spellEnd"/>
      <w:r>
        <w:t xml:space="preserve">-UNNE. Av. Libertad 5450. Corrientes. Argentina. </w:t>
      </w:r>
    </w:p>
    <w:p w:rsidR="00676DC6" w:rsidRDefault="00D470D9">
      <w:pPr>
        <w:spacing w:after="0"/>
        <w:ind w:left="0" w:hanging="2"/>
        <w:jc w:val="left"/>
      </w:pPr>
      <w:r>
        <w:t xml:space="preserve">(2) </w:t>
      </w:r>
      <w:proofErr w:type="spellStart"/>
      <w:r>
        <w:t>FaCENA</w:t>
      </w:r>
      <w:proofErr w:type="spellEnd"/>
      <w:r>
        <w:t>-UNNE. Av. Libertad 5450. Corrientes. Argentina</w:t>
      </w:r>
    </w:p>
    <w:p w:rsidR="00676DC6" w:rsidRDefault="00676DC6">
      <w:pPr>
        <w:spacing w:after="0"/>
        <w:ind w:left="0" w:hanging="2"/>
        <w:jc w:val="left"/>
      </w:pPr>
    </w:p>
    <w:p w:rsidR="00676DC6" w:rsidRDefault="00D470D9">
      <w:pPr>
        <w:tabs>
          <w:tab w:val="left" w:pos="7185"/>
        </w:tabs>
        <w:spacing w:after="0" w:line="240" w:lineRule="auto"/>
        <w:ind w:left="0" w:hanging="2"/>
        <w:jc w:val="left"/>
      </w:pPr>
      <w:r>
        <w:t>Dirección de e-mail: maria.guadalupe.chaves@comunidad.unne.edu.ar</w:t>
      </w:r>
    </w:p>
    <w:p w:rsidR="00676DC6" w:rsidRDefault="00676DC6">
      <w:pPr>
        <w:spacing w:after="0"/>
        <w:ind w:left="0" w:hanging="2"/>
      </w:pPr>
    </w:p>
    <w:p w:rsidR="00676DC6" w:rsidRDefault="00D470D9">
      <w:pPr>
        <w:spacing w:after="0"/>
        <w:ind w:left="0" w:hanging="2"/>
      </w:pPr>
      <w:r>
        <w:t>El chañar (</w:t>
      </w:r>
      <w:proofErr w:type="spellStart"/>
      <w:r>
        <w:rPr>
          <w:i/>
        </w:rPr>
        <w:t>Geoffroea</w:t>
      </w:r>
      <w:proofErr w:type="spellEnd"/>
      <w:r>
        <w:rPr>
          <w:i/>
        </w:rPr>
        <w:t xml:space="preserve"> </w:t>
      </w:r>
      <w:proofErr w:type="spellStart"/>
      <w:r>
        <w:rPr>
          <w:i/>
        </w:rPr>
        <w:t>decorticans</w:t>
      </w:r>
      <w:proofErr w:type="spellEnd"/>
      <w:r>
        <w:t>) (CH) es una leguminosa arbórea cuyos frutos se consumen frescos o bien hervidos, fermentados o tostados, o bajo la</w:t>
      </w:r>
      <w:r w:rsidR="00CC008D">
        <w:t>s</w:t>
      </w:r>
      <w:r>
        <w:t xml:space="preserve"> forma</w:t>
      </w:r>
      <w:r w:rsidR="00CC008D">
        <w:t>s de</w:t>
      </w:r>
      <w:r>
        <w:t xml:space="preserve"> arrope, chicha y aloja de chañar. El carozo del fruto es leñoso y difícil de moler, por lo cual muchas veces es desechado, aún a pesar de su alto contenido en lípidos. La revalorización de frutos de árboles nativos como fuente de macromoléculas, como lo son las proteínas, es de sumo interés ya que ofrece una alternativa diferente a las proteínas de origen animal. El objetivo de este trabajo fue determinar la composición centesimal de harinas del </w:t>
      </w:r>
      <w:proofErr w:type="spellStart"/>
      <w:r>
        <w:t>pericarpio+mesocarpio</w:t>
      </w:r>
      <w:proofErr w:type="spellEnd"/>
      <w:r>
        <w:t xml:space="preserve"> (HP) (cáscara y pulpa del fruto) y del </w:t>
      </w:r>
      <w:proofErr w:type="spellStart"/>
      <w:r>
        <w:t>endocarpio+semilla</w:t>
      </w:r>
      <w:proofErr w:type="spellEnd"/>
      <w:r>
        <w:t xml:space="preserve"> (HE) (carozo), así como de harina de CH integral tostada comercial (HT) y obtener aislados proteicos. Los frutos fueron recolectados en diciembre 2021 – enero 2022 y fueron conservados a -20°C. HP y HE fueron secadas (45°C, 10 h), molidas y tamizadas (ASTM 18) y conservadas a 4°C. Se determinó la composición centesimal por métodos de la AOAC (1990). Se obtuvieron aislados proteicos por solubilización alcalina (pH10) y posterior precipitación isoeléctrica (pH4). Se determinó el contenido de proteína bruta (Nx6,25) y la solubilidad proteica (%So) a pH 7 por el método de Bradford. Se evaluó el perfil electroforético (SDS-PAGE) sin y con </w:t>
      </w:r>
      <w:commentRangeStart w:id="0"/>
      <w:r>
        <w:t xml:space="preserve">2-ME </w:t>
      </w:r>
      <w:commentRangeEnd w:id="0"/>
      <w:r w:rsidR="00CC008D">
        <w:rPr>
          <w:rStyle w:val="Refdecomentario"/>
        </w:rPr>
        <w:commentReference w:id="0"/>
      </w:r>
      <w:r>
        <w:t xml:space="preserve">de HE y del aislado proteico de HE (AHE). Los resultados obtenidos evidenciaron mayor porcentaje de humedad para HE (8,88±0,05) y HT (6,45±0,03) mientras que el contenido de cenizas fue superior para HP (2,98±0,13) y HT (3,33±0,81). El mayor contenido de lípidos totales fue de HE (9,32±0,10). HE y HT presentaron </w:t>
      </w:r>
      <w:r w:rsidR="00D6220F">
        <w:t>el mayor</w:t>
      </w:r>
      <w:r>
        <w:t xml:space="preserve"> contenido de proteínas totales (8,37±0,24 y 9,15±0,15)</w:t>
      </w:r>
      <w:sdt>
        <w:sdtPr>
          <w:tag w:val="goog_rdk_0"/>
          <w:id w:val="1326245314"/>
        </w:sdtPr>
        <w:sdtContent>
          <w:r>
            <w:rPr>
              <w:rFonts w:ascii="Arial Unicode MS" w:eastAsia="Arial Unicode MS" w:hAnsi="Arial Unicode MS" w:cs="Arial Unicode MS"/>
            </w:rPr>
            <w:t xml:space="preserve">. El rendimiento </w:t>
          </w:r>
          <w:r w:rsidR="00CC008D">
            <w:rPr>
              <w:rFonts w:ascii="Arial Unicode MS" w:eastAsia="Arial Unicode MS" w:hAnsi="Arial Unicode MS" w:cs="Arial Unicode MS"/>
            </w:rPr>
            <w:t>en</w:t>
          </w:r>
          <w:r>
            <w:rPr>
              <w:rFonts w:ascii="Arial Unicode MS" w:eastAsia="Arial Unicode MS" w:hAnsi="Arial Unicode MS" w:cs="Arial Unicode MS"/>
            </w:rPr>
            <w:t xml:space="preserve"> peso de</w:t>
          </w:r>
          <w:r w:rsidR="00CC008D">
            <w:rPr>
              <w:rFonts w:ascii="Arial Unicode MS" w:eastAsia="Arial Unicode MS" w:hAnsi="Arial Unicode MS" w:cs="Arial Unicode MS"/>
            </w:rPr>
            <w:t xml:space="preserve"> los</w:t>
          </w:r>
          <w:r>
            <w:rPr>
              <w:rFonts w:ascii="Arial Unicode MS" w:eastAsia="Arial Unicode MS" w:hAnsi="Arial Unicode MS" w:cs="Arial Unicode MS"/>
            </w:rPr>
            <w:t xml:space="preserve"> aislados proteicos fue similar entre las harinas (p≥0,05) (3,83</w:t>
          </w:r>
        </w:sdtContent>
      </w:sdt>
      <w:r>
        <w:t xml:space="preserve">±0,15%), siendo AHE el de mayor recuperación proteica (27,86±1,25%) con el mayor contenido proteico (70,36±1,68%). </w:t>
      </w:r>
      <w:r>
        <w:rPr>
          <w:highlight w:val="white"/>
        </w:rPr>
        <w:t xml:space="preserve">HE (SDS-PAGE) </w:t>
      </w:r>
      <w:commentRangeStart w:id="1"/>
      <w:r>
        <w:rPr>
          <w:highlight w:val="white"/>
        </w:rPr>
        <w:t xml:space="preserve">presenta agregados solubles </w:t>
      </w:r>
      <w:commentRangeEnd w:id="1"/>
      <w:r w:rsidR="00B17ED7">
        <w:rPr>
          <w:rStyle w:val="Refdecomentario"/>
        </w:rPr>
        <w:commentReference w:id="1"/>
      </w:r>
      <w:r>
        <w:rPr>
          <w:highlight w:val="white"/>
        </w:rPr>
        <w:t xml:space="preserve">que no ingresan al gel y </w:t>
      </w:r>
      <w:r w:rsidR="00D6220F">
        <w:rPr>
          <w:highlight w:val="white"/>
        </w:rPr>
        <w:t>polipéptidos de</w:t>
      </w:r>
      <w:r>
        <w:rPr>
          <w:highlight w:val="white"/>
        </w:rPr>
        <w:t xml:space="preserve"> 73, 65, 62, 29, 25, 15, 13,6 y 11,5 </w:t>
      </w:r>
      <w:proofErr w:type="spellStart"/>
      <w:r>
        <w:rPr>
          <w:highlight w:val="white"/>
        </w:rPr>
        <w:t>kDa</w:t>
      </w:r>
      <w:proofErr w:type="spellEnd"/>
      <w:r>
        <w:rPr>
          <w:highlight w:val="white"/>
        </w:rPr>
        <w:t xml:space="preserve">. El AHE presentó un perfil electroforético similar a HE, con mayor proporción de agregados solubles de 100-250 </w:t>
      </w:r>
      <w:proofErr w:type="spellStart"/>
      <w:r>
        <w:rPr>
          <w:highlight w:val="white"/>
        </w:rPr>
        <w:t>KDa</w:t>
      </w:r>
      <w:proofErr w:type="spellEnd"/>
      <w:r>
        <w:rPr>
          <w:highlight w:val="white"/>
        </w:rPr>
        <w:t xml:space="preserve">. En condiciones reductoras, se observa una disminución de agregados solubles entre 100-150 </w:t>
      </w:r>
      <w:proofErr w:type="spellStart"/>
      <w:r>
        <w:rPr>
          <w:highlight w:val="white"/>
        </w:rPr>
        <w:t>KDa</w:t>
      </w:r>
      <w:proofErr w:type="spellEnd"/>
      <w:r>
        <w:rPr>
          <w:highlight w:val="white"/>
        </w:rPr>
        <w:t xml:space="preserve">, la aparición de polipéptidos de 34, 30, 20-19 y 10 </w:t>
      </w:r>
      <w:proofErr w:type="spellStart"/>
      <w:r>
        <w:rPr>
          <w:highlight w:val="white"/>
        </w:rPr>
        <w:t>kDa</w:t>
      </w:r>
      <w:proofErr w:type="spellEnd"/>
      <w:r>
        <w:rPr>
          <w:highlight w:val="white"/>
        </w:rPr>
        <w:t xml:space="preserve"> y la desaparición de una banda de 65 </w:t>
      </w:r>
      <w:proofErr w:type="spellStart"/>
      <w:r>
        <w:rPr>
          <w:highlight w:val="white"/>
        </w:rPr>
        <w:t>kDa</w:t>
      </w:r>
      <w:proofErr w:type="spellEnd"/>
      <w:r>
        <w:rPr>
          <w:highlight w:val="white"/>
        </w:rPr>
        <w:t>, lo cual indica la presencia de puentes disulfuros. La So</w:t>
      </w:r>
      <w:r>
        <w:t xml:space="preserve"> de HE fue mayor (14,09±0,50%) que HP (4,09±1,38%) y HT (2,23±0,23%), </w:t>
      </w:r>
      <w:r>
        <w:lastRenderedPageBreak/>
        <w:t>mientras que la So de los aislados correspondientes no presentaron diferencias significativas entre sí (38,23±1,11%). La obtención de aislado proteico a partir del carozo del CH resulta interesante, dado el rendimiento y el contenido proteico de los mismos. Así mismo se hace necesario futuros estudios de sus propiedades tecnofuncionales y/o estructurales.</w:t>
      </w:r>
    </w:p>
    <w:p w:rsidR="00676DC6" w:rsidRDefault="00676DC6">
      <w:pPr>
        <w:spacing w:after="0"/>
        <w:ind w:left="0" w:hanging="2"/>
      </w:pPr>
    </w:p>
    <w:p w:rsidR="00676DC6" w:rsidRDefault="00676DC6">
      <w:pPr>
        <w:spacing w:after="0"/>
        <w:ind w:left="0" w:hanging="2"/>
      </w:pPr>
    </w:p>
    <w:p w:rsidR="00676DC6" w:rsidRDefault="00D470D9">
      <w:pPr>
        <w:spacing w:after="0"/>
        <w:ind w:left="0" w:hanging="2"/>
      </w:pPr>
      <w:r>
        <w:t xml:space="preserve">Palabras claves: </w:t>
      </w:r>
      <w:proofErr w:type="spellStart"/>
      <w:r>
        <w:rPr>
          <w:i/>
        </w:rPr>
        <w:t>Geoffroea</w:t>
      </w:r>
      <w:proofErr w:type="spellEnd"/>
      <w:r>
        <w:rPr>
          <w:i/>
        </w:rPr>
        <w:t xml:space="preserve"> </w:t>
      </w:r>
      <w:proofErr w:type="spellStart"/>
      <w:r>
        <w:rPr>
          <w:i/>
        </w:rPr>
        <w:t>decorticans</w:t>
      </w:r>
      <w:proofErr w:type="spellEnd"/>
      <w:r>
        <w:t xml:space="preserve">, composición centesimal, solubilidad proteica. </w:t>
      </w:r>
    </w:p>
    <w:p w:rsidR="00676DC6" w:rsidRDefault="00676DC6">
      <w:pPr>
        <w:spacing w:after="0" w:line="240" w:lineRule="auto"/>
        <w:ind w:left="0" w:hanging="2"/>
      </w:pPr>
    </w:p>
    <w:p w:rsidR="00676DC6" w:rsidRDefault="00676DC6">
      <w:pPr>
        <w:spacing w:after="0" w:line="240" w:lineRule="auto"/>
        <w:ind w:left="0" w:hanging="2"/>
      </w:pPr>
    </w:p>
    <w:p w:rsidR="00676DC6" w:rsidRDefault="00D470D9">
      <w:pPr>
        <w:spacing w:after="0"/>
        <w:ind w:left="0" w:hanging="2"/>
        <w:rPr>
          <w:b/>
        </w:rPr>
      </w:pPr>
      <w:r>
        <w:rPr>
          <w:color w:val="FF0000"/>
        </w:rPr>
        <w:tab/>
        <w:t xml:space="preserve">     </w:t>
      </w:r>
    </w:p>
    <w:sectPr w:rsidR="00676DC6" w:rsidSect="004936BC">
      <w:headerReference w:type="default" r:id="rId8"/>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dgardo Calandri" w:date="2022-08-02T12:08:00Z" w:initials="EC">
    <w:p w:rsidR="00CC008D" w:rsidRDefault="00CC008D" w:rsidP="00CC008D">
      <w:pPr>
        <w:pStyle w:val="Textocomentario"/>
        <w:ind w:leftChars="0" w:left="0" w:firstLineChars="0" w:firstLine="0"/>
      </w:pPr>
      <w:r>
        <w:rPr>
          <w:rStyle w:val="Refdecomentario"/>
        </w:rPr>
        <w:annotationRef/>
      </w:r>
      <w:r>
        <w:t>Dar el significado de la sigla</w:t>
      </w:r>
    </w:p>
  </w:comment>
  <w:comment w:id="1" w:author="Edgardo Calandri" w:date="2022-08-02T12:27:00Z" w:initials="EC">
    <w:p w:rsidR="00B17ED7" w:rsidRDefault="00B17ED7">
      <w:pPr>
        <w:pStyle w:val="Textocomentario"/>
        <w:ind w:left="0" w:hanging="2"/>
      </w:pPr>
      <w:r>
        <w:rPr>
          <w:rStyle w:val="Refdecomentario"/>
        </w:rPr>
        <w:annotationRef/>
      </w:r>
      <w:r>
        <w:t>¿Por qué agregado y no simplemente polipéptidos?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7594DD" w15:done="0"/>
  <w15:commentEx w15:paraId="7C1804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253" w16cex:dateUtc="2022-08-02T15:08:00Z"/>
  <w16cex:commentExtensible w16cex:durableId="26939695" w16cex:dateUtc="2022-08-02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7594DD" w16cid:durableId="26939253"/>
  <w16cid:commentId w16cid:paraId="7C180449" w16cid:durableId="2693969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640" w:rsidRDefault="007C1640">
      <w:pPr>
        <w:spacing w:after="0" w:line="240" w:lineRule="auto"/>
        <w:ind w:left="0" w:hanging="2"/>
      </w:pPr>
      <w:r>
        <w:separator/>
      </w:r>
    </w:p>
  </w:endnote>
  <w:endnote w:type="continuationSeparator" w:id="0">
    <w:p w:rsidR="007C1640" w:rsidRDefault="007C164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640" w:rsidRDefault="007C1640">
      <w:pPr>
        <w:spacing w:after="0" w:line="240" w:lineRule="auto"/>
        <w:ind w:left="0" w:hanging="2"/>
      </w:pPr>
      <w:r>
        <w:separator/>
      </w:r>
    </w:p>
  </w:footnote>
  <w:footnote w:type="continuationSeparator" w:id="0">
    <w:p w:rsidR="007C1640" w:rsidRDefault="007C1640">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C6" w:rsidRDefault="00D470D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eastAsia="es-AR"/>
      </w:rPr>
      <w:drawing>
        <wp:anchor distT="0" distB="0" distL="114300" distR="114300" simplePos="0" relativeHeight="251658240" behindDoc="0" locked="0" layoutInCell="1" allowOverlap="1">
          <wp:simplePos x="0" y="0"/>
          <wp:positionH relativeFrom="column">
            <wp:posOffset>-127633</wp:posOffset>
          </wp:positionH>
          <wp:positionV relativeFrom="paragraph">
            <wp:posOffset>-275589</wp:posOffset>
          </wp:positionV>
          <wp:extent cx="648335" cy="6667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335" cy="666750"/>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gardo Calandri">
    <w15:presenceInfo w15:providerId="Windows Live" w15:userId="9e35d5e8072d2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676DC6"/>
    <w:rsid w:val="004936BC"/>
    <w:rsid w:val="005123DC"/>
    <w:rsid w:val="00676DC6"/>
    <w:rsid w:val="00770136"/>
    <w:rsid w:val="007C1640"/>
    <w:rsid w:val="00B17ED7"/>
    <w:rsid w:val="00CC008D"/>
    <w:rsid w:val="00D470D9"/>
    <w:rsid w:val="00D6220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6BC"/>
    <w:pPr>
      <w:suppressAutoHyphens/>
      <w:ind w:leftChars="-1" w:left="-1" w:hangingChars="1" w:hanging="1"/>
      <w:textDirection w:val="btLr"/>
      <w:textAlignment w:val="top"/>
      <w:outlineLvl w:val="0"/>
    </w:pPr>
    <w:rPr>
      <w:position w:val="-1"/>
      <w:lang w:val="es-AR" w:eastAsia="en-US"/>
    </w:rPr>
  </w:style>
  <w:style w:type="paragraph" w:styleId="Ttulo1">
    <w:name w:val="heading 1"/>
    <w:basedOn w:val="Normal"/>
    <w:next w:val="Normal"/>
    <w:uiPriority w:val="9"/>
    <w:qFormat/>
    <w:rsid w:val="004936BC"/>
    <w:pPr>
      <w:jc w:val="center"/>
    </w:pPr>
    <w:rPr>
      <w:rFonts w:cs="Times New Roman"/>
      <w:b/>
    </w:rPr>
  </w:style>
  <w:style w:type="paragraph" w:styleId="Ttulo2">
    <w:name w:val="heading 2"/>
    <w:basedOn w:val="Normal"/>
    <w:next w:val="Normal"/>
    <w:uiPriority w:val="9"/>
    <w:semiHidden/>
    <w:unhideWhenUsed/>
    <w:qFormat/>
    <w:rsid w:val="004936BC"/>
    <w:pPr>
      <w:jc w:val="center"/>
      <w:outlineLvl w:val="1"/>
    </w:pPr>
    <w:rPr>
      <w:rFonts w:cs="Times New Roman"/>
    </w:rPr>
  </w:style>
  <w:style w:type="paragraph" w:styleId="Ttulo3">
    <w:name w:val="heading 3"/>
    <w:basedOn w:val="Normal"/>
    <w:next w:val="Normal"/>
    <w:uiPriority w:val="9"/>
    <w:semiHidden/>
    <w:unhideWhenUsed/>
    <w:qFormat/>
    <w:rsid w:val="004936BC"/>
    <w:pPr>
      <w:jc w:val="center"/>
      <w:outlineLvl w:val="2"/>
    </w:pPr>
    <w:rPr>
      <w:rFonts w:cs="Times New Roman"/>
    </w:rPr>
  </w:style>
  <w:style w:type="paragraph" w:styleId="Ttulo4">
    <w:name w:val="heading 4"/>
    <w:basedOn w:val="Normal"/>
    <w:next w:val="Normal"/>
    <w:uiPriority w:val="9"/>
    <w:semiHidden/>
    <w:unhideWhenUsed/>
    <w:qFormat/>
    <w:rsid w:val="004936BC"/>
    <w:pPr>
      <w:keepNext/>
      <w:keepLines/>
      <w:spacing w:before="240" w:after="40"/>
      <w:outlineLvl w:val="3"/>
    </w:pPr>
    <w:rPr>
      <w:b/>
    </w:rPr>
  </w:style>
  <w:style w:type="paragraph" w:styleId="Ttulo5">
    <w:name w:val="heading 5"/>
    <w:basedOn w:val="Normal"/>
    <w:next w:val="Normal"/>
    <w:uiPriority w:val="9"/>
    <w:semiHidden/>
    <w:unhideWhenUsed/>
    <w:qFormat/>
    <w:rsid w:val="004936B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936B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936BC"/>
    <w:tblPr>
      <w:tblCellMar>
        <w:top w:w="0" w:type="dxa"/>
        <w:left w:w="0" w:type="dxa"/>
        <w:bottom w:w="0" w:type="dxa"/>
        <w:right w:w="0" w:type="dxa"/>
      </w:tblCellMar>
    </w:tblPr>
  </w:style>
  <w:style w:type="paragraph" w:styleId="Ttulo">
    <w:name w:val="Title"/>
    <w:basedOn w:val="Normal"/>
    <w:next w:val="Normal"/>
    <w:uiPriority w:val="10"/>
    <w:qFormat/>
    <w:rsid w:val="004936BC"/>
    <w:pPr>
      <w:keepNext/>
      <w:keepLines/>
      <w:spacing w:before="480" w:after="120"/>
    </w:pPr>
    <w:rPr>
      <w:b/>
      <w:sz w:val="72"/>
      <w:szCs w:val="72"/>
    </w:rPr>
  </w:style>
  <w:style w:type="character" w:styleId="Hipervnculo">
    <w:name w:val="Hyperlink"/>
    <w:rsid w:val="004936BC"/>
    <w:rPr>
      <w:color w:val="0000FF"/>
      <w:w w:val="100"/>
      <w:position w:val="-1"/>
      <w:u w:val="single"/>
      <w:effect w:val="none"/>
      <w:vertAlign w:val="baseline"/>
      <w:cs w:val="0"/>
      <w:em w:val="none"/>
    </w:rPr>
  </w:style>
  <w:style w:type="character" w:customStyle="1" w:styleId="Ttulo1Car">
    <w:name w:val="Título 1 Car"/>
    <w:rsid w:val="004936BC"/>
    <w:rPr>
      <w:rFonts w:ascii="Arial" w:hAnsi="Arial" w:cs="Arial"/>
      <w:b/>
      <w:w w:val="100"/>
      <w:position w:val="-1"/>
      <w:sz w:val="24"/>
      <w:szCs w:val="24"/>
      <w:effect w:val="none"/>
      <w:vertAlign w:val="baseline"/>
      <w:cs w:val="0"/>
      <w:em w:val="none"/>
    </w:rPr>
  </w:style>
  <w:style w:type="character" w:customStyle="1" w:styleId="Ttulo2Car">
    <w:name w:val="Título 2 Car"/>
    <w:rsid w:val="004936BC"/>
    <w:rPr>
      <w:rFonts w:ascii="Arial" w:hAnsi="Arial" w:cs="Arial"/>
      <w:w w:val="100"/>
      <w:position w:val="-1"/>
      <w:sz w:val="24"/>
      <w:szCs w:val="24"/>
      <w:effect w:val="none"/>
      <w:vertAlign w:val="baseline"/>
      <w:cs w:val="0"/>
      <w:em w:val="none"/>
    </w:rPr>
  </w:style>
  <w:style w:type="character" w:customStyle="1" w:styleId="Ttulo3Car">
    <w:name w:val="Título 3 Car"/>
    <w:rsid w:val="004936BC"/>
    <w:rPr>
      <w:rFonts w:ascii="Arial" w:hAnsi="Arial" w:cs="Arial"/>
      <w:w w:val="100"/>
      <w:position w:val="-1"/>
      <w:sz w:val="24"/>
      <w:szCs w:val="24"/>
      <w:effect w:val="none"/>
      <w:vertAlign w:val="baseline"/>
      <w:cs w:val="0"/>
      <w:em w:val="none"/>
    </w:rPr>
  </w:style>
  <w:style w:type="paragraph" w:styleId="Encabezado">
    <w:name w:val="header"/>
    <w:basedOn w:val="Normal"/>
    <w:qFormat/>
    <w:rsid w:val="004936BC"/>
    <w:pPr>
      <w:spacing w:after="0" w:line="240" w:lineRule="auto"/>
    </w:pPr>
    <w:rPr>
      <w:rFonts w:cs="Times New Roman"/>
    </w:rPr>
  </w:style>
  <w:style w:type="character" w:customStyle="1" w:styleId="EncabezadoCar">
    <w:name w:val="Encabezado Car"/>
    <w:rsid w:val="004936BC"/>
    <w:rPr>
      <w:rFonts w:ascii="Arial" w:hAnsi="Arial" w:cs="Arial"/>
      <w:w w:val="100"/>
      <w:position w:val="-1"/>
      <w:sz w:val="24"/>
      <w:szCs w:val="24"/>
      <w:effect w:val="none"/>
      <w:vertAlign w:val="baseline"/>
      <w:cs w:val="0"/>
      <w:em w:val="none"/>
    </w:rPr>
  </w:style>
  <w:style w:type="paragraph" w:styleId="Piedepgina">
    <w:name w:val="footer"/>
    <w:basedOn w:val="Normal"/>
    <w:qFormat/>
    <w:rsid w:val="004936BC"/>
    <w:pPr>
      <w:spacing w:after="0" w:line="240" w:lineRule="auto"/>
    </w:pPr>
    <w:rPr>
      <w:rFonts w:cs="Times New Roman"/>
    </w:rPr>
  </w:style>
  <w:style w:type="character" w:customStyle="1" w:styleId="PiedepginaCar">
    <w:name w:val="Pie de página Car"/>
    <w:rsid w:val="004936BC"/>
    <w:rPr>
      <w:rFonts w:ascii="Arial" w:hAnsi="Arial" w:cs="Arial"/>
      <w:w w:val="100"/>
      <w:position w:val="-1"/>
      <w:sz w:val="24"/>
      <w:szCs w:val="24"/>
      <w:effect w:val="none"/>
      <w:vertAlign w:val="baseline"/>
      <w:cs w:val="0"/>
      <w:em w:val="none"/>
    </w:rPr>
  </w:style>
  <w:style w:type="character" w:styleId="Textoennegrita">
    <w:name w:val="Strong"/>
    <w:rsid w:val="004936BC"/>
    <w:rPr>
      <w:b/>
      <w:bCs/>
      <w:w w:val="100"/>
      <w:position w:val="-1"/>
      <w:effect w:val="none"/>
      <w:vertAlign w:val="baseline"/>
      <w:cs w:val="0"/>
      <w:em w:val="none"/>
    </w:rPr>
  </w:style>
  <w:style w:type="character" w:styleId="Refdecomentario">
    <w:name w:val="annotation reference"/>
    <w:qFormat/>
    <w:rsid w:val="004936BC"/>
    <w:rPr>
      <w:w w:val="100"/>
      <w:position w:val="-1"/>
      <w:sz w:val="16"/>
      <w:szCs w:val="16"/>
      <w:effect w:val="none"/>
      <w:vertAlign w:val="baseline"/>
      <w:cs w:val="0"/>
      <w:em w:val="none"/>
    </w:rPr>
  </w:style>
  <w:style w:type="paragraph" w:styleId="Textocomentario">
    <w:name w:val="annotation text"/>
    <w:basedOn w:val="Normal"/>
    <w:qFormat/>
    <w:rsid w:val="004936BC"/>
    <w:rPr>
      <w:sz w:val="20"/>
      <w:szCs w:val="20"/>
    </w:rPr>
  </w:style>
  <w:style w:type="character" w:customStyle="1" w:styleId="TextocomentarioCar">
    <w:name w:val="Texto comentario Car"/>
    <w:rsid w:val="004936BC"/>
    <w:rPr>
      <w:rFonts w:ascii="Arial" w:hAnsi="Arial" w:cs="Arial"/>
      <w:w w:val="100"/>
      <w:position w:val="-1"/>
      <w:effect w:val="none"/>
      <w:vertAlign w:val="baseline"/>
      <w:cs w:val="0"/>
      <w:em w:val="none"/>
      <w:lang w:eastAsia="en-US"/>
    </w:rPr>
  </w:style>
  <w:style w:type="paragraph" w:styleId="Asuntodelcomentario">
    <w:name w:val="annotation subject"/>
    <w:basedOn w:val="Textocomentario"/>
    <w:next w:val="Textocomentario"/>
    <w:qFormat/>
    <w:rsid w:val="004936BC"/>
    <w:rPr>
      <w:b/>
      <w:bCs/>
    </w:rPr>
  </w:style>
  <w:style w:type="character" w:customStyle="1" w:styleId="AsuntodelcomentarioCar">
    <w:name w:val="Asunto del comentario Car"/>
    <w:rsid w:val="004936BC"/>
    <w:rPr>
      <w:rFonts w:ascii="Arial" w:hAnsi="Arial" w:cs="Arial"/>
      <w:b/>
      <w:bCs/>
      <w:w w:val="100"/>
      <w:position w:val="-1"/>
      <w:effect w:val="none"/>
      <w:vertAlign w:val="baseline"/>
      <w:cs w:val="0"/>
      <w:em w:val="none"/>
      <w:lang w:eastAsia="en-US"/>
    </w:rPr>
  </w:style>
  <w:style w:type="paragraph" w:styleId="Textodeglobo">
    <w:name w:val="Balloon Text"/>
    <w:basedOn w:val="Normal"/>
    <w:qFormat/>
    <w:rsid w:val="004936BC"/>
    <w:pPr>
      <w:spacing w:after="0" w:line="240" w:lineRule="auto"/>
    </w:pPr>
    <w:rPr>
      <w:rFonts w:ascii="Tahoma" w:hAnsi="Tahoma" w:cs="Tahoma"/>
      <w:sz w:val="16"/>
      <w:szCs w:val="16"/>
    </w:rPr>
  </w:style>
  <w:style w:type="character" w:customStyle="1" w:styleId="TextodegloboCar">
    <w:name w:val="Texto de globo Car"/>
    <w:rsid w:val="004936BC"/>
    <w:rPr>
      <w:rFonts w:ascii="Tahoma" w:hAnsi="Tahoma" w:cs="Tahoma"/>
      <w:w w:val="100"/>
      <w:position w:val="-1"/>
      <w:sz w:val="16"/>
      <w:szCs w:val="16"/>
      <w:effect w:val="none"/>
      <w:vertAlign w:val="baseline"/>
      <w:cs w:val="0"/>
      <w:em w:val="none"/>
      <w:lang w:eastAsia="en-US"/>
    </w:rPr>
  </w:style>
  <w:style w:type="paragraph" w:styleId="Subttulo">
    <w:name w:val="Subtitle"/>
    <w:basedOn w:val="Normal"/>
    <w:next w:val="Normal"/>
    <w:uiPriority w:val="11"/>
    <w:qFormat/>
    <w:rsid w:val="004936B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jBy6uFM8FczcbNznyLLIl1MwQ==">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cp:lastPrinted>2022-07-01T14:28:00Z</cp:lastPrinted>
  <dcterms:created xsi:type="dcterms:W3CDTF">2022-08-02T17:33:00Z</dcterms:created>
  <dcterms:modified xsi:type="dcterms:W3CDTF">2022-08-02T17:33:00Z</dcterms:modified>
</cp:coreProperties>
</file>