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53" w:rsidRDefault="00E71B51">
      <w:pPr>
        <w:spacing w:after="0" w:line="240" w:lineRule="auto"/>
        <w:ind w:left="0" w:hanging="2"/>
        <w:jc w:val="center"/>
        <w:rPr>
          <w:rFonts w:ascii="Times New Roman" w:eastAsia="Times New Roman" w:hAnsi="Times New Roman" w:cs="Times New Roman"/>
        </w:rPr>
      </w:pPr>
      <w:r>
        <w:rPr>
          <w:b/>
          <w:color w:val="000000"/>
        </w:rPr>
        <w:t xml:space="preserve">Revalorización de semillas de limón: Evaluación de solventes ¨verdes¨ para la </w:t>
      </w:r>
      <w:r>
        <w:rPr>
          <w:b/>
          <w:color w:val="000000"/>
        </w:rPr>
        <w:t>extracción de fracciones con actividad antioxidante</w:t>
      </w:r>
    </w:p>
    <w:p w:rsidR="004C2953" w:rsidRDefault="004C2953">
      <w:pPr>
        <w:spacing w:after="0" w:line="240" w:lineRule="auto"/>
        <w:ind w:left="0" w:hanging="2"/>
        <w:jc w:val="left"/>
        <w:rPr>
          <w:rFonts w:ascii="Times New Roman" w:eastAsia="Times New Roman" w:hAnsi="Times New Roman" w:cs="Times New Roman"/>
        </w:rPr>
      </w:pPr>
    </w:p>
    <w:p w:rsidR="004C2953" w:rsidRDefault="00E71B51">
      <w:pPr>
        <w:spacing w:line="240" w:lineRule="auto"/>
        <w:ind w:left="0" w:hanging="2"/>
        <w:jc w:val="center"/>
        <w:rPr>
          <w:rFonts w:ascii="Times New Roman" w:eastAsia="Times New Roman" w:hAnsi="Times New Roman" w:cs="Times New Roman"/>
        </w:rPr>
      </w:pPr>
      <w:proofErr w:type="spellStart"/>
      <w:r>
        <w:rPr>
          <w:color w:val="000000"/>
        </w:rPr>
        <w:t>Benestante</w:t>
      </w:r>
      <w:proofErr w:type="spellEnd"/>
      <w:r>
        <w:rPr>
          <w:color w:val="000000"/>
        </w:rPr>
        <w:t xml:space="preserve"> A (1,2), </w:t>
      </w:r>
      <w:proofErr w:type="spellStart"/>
      <w:r>
        <w:rPr>
          <w:color w:val="000000"/>
        </w:rPr>
        <w:t>Chalapud</w:t>
      </w:r>
      <w:proofErr w:type="spellEnd"/>
      <w:r>
        <w:rPr>
          <w:color w:val="000000"/>
        </w:rPr>
        <w:t xml:space="preserve"> Narváez MC (1,2), </w:t>
      </w:r>
      <w:proofErr w:type="spellStart"/>
      <w:r>
        <w:rPr>
          <w:color w:val="000000"/>
        </w:rPr>
        <w:t>Baümler</w:t>
      </w:r>
      <w:proofErr w:type="spellEnd"/>
      <w:r>
        <w:rPr>
          <w:color w:val="000000"/>
        </w:rPr>
        <w:t xml:space="preserve"> ER</w:t>
      </w:r>
      <w:r>
        <w:rPr>
          <w:color w:val="000000"/>
          <w:sz w:val="14"/>
          <w:szCs w:val="14"/>
          <w:vertAlign w:val="superscript"/>
        </w:rPr>
        <w:t xml:space="preserve"> </w:t>
      </w:r>
      <w:r>
        <w:rPr>
          <w:color w:val="000000"/>
        </w:rPr>
        <w:t>(1,2), Pacheco C</w:t>
      </w:r>
      <w:r>
        <w:rPr>
          <w:color w:val="000000"/>
          <w:sz w:val="14"/>
          <w:szCs w:val="14"/>
          <w:vertAlign w:val="superscript"/>
        </w:rPr>
        <w:t xml:space="preserve"> </w:t>
      </w:r>
      <w:r>
        <w:rPr>
          <w:color w:val="000000"/>
        </w:rPr>
        <w:t xml:space="preserve">(1,2) y </w:t>
      </w:r>
      <w:proofErr w:type="spellStart"/>
      <w:r>
        <w:rPr>
          <w:color w:val="000000"/>
        </w:rPr>
        <w:t>Carrín</w:t>
      </w:r>
      <w:proofErr w:type="spellEnd"/>
      <w:r>
        <w:rPr>
          <w:color w:val="000000"/>
        </w:rPr>
        <w:t xml:space="preserve"> ME</w:t>
      </w:r>
      <w:r>
        <w:rPr>
          <w:color w:val="000000"/>
          <w:sz w:val="14"/>
          <w:szCs w:val="14"/>
          <w:vertAlign w:val="superscript"/>
        </w:rPr>
        <w:t xml:space="preserve"> </w:t>
      </w:r>
      <w:r>
        <w:rPr>
          <w:color w:val="000000"/>
        </w:rPr>
        <w:t>(1,2)</w:t>
      </w:r>
    </w:p>
    <w:p w:rsidR="004C2953" w:rsidRDefault="00FC6033" w:rsidP="00735CC3">
      <w:pPr>
        <w:numPr>
          <w:ilvl w:val="0"/>
          <w:numId w:val="1"/>
        </w:numPr>
        <w:pBdr>
          <w:top w:val="nil"/>
          <w:left w:val="nil"/>
          <w:bottom w:val="nil"/>
          <w:right w:val="nil"/>
          <w:between w:val="nil"/>
        </w:pBdr>
        <w:spacing w:after="0" w:line="240" w:lineRule="auto"/>
        <w:ind w:left="0" w:hanging="2"/>
      </w:pPr>
      <w:r>
        <w:t xml:space="preserve"> </w:t>
      </w:r>
      <w:r w:rsidR="00E71B51">
        <w:t>Departamento</w:t>
      </w:r>
      <w:r w:rsidR="00E71B51">
        <w:rPr>
          <w:color w:val="000000"/>
        </w:rPr>
        <w:t xml:space="preserve"> de Ingeniería Química, Universidad Nacional del Sur (UNS).</w:t>
      </w:r>
    </w:p>
    <w:p w:rsidR="00B63C35" w:rsidRDefault="00FC6033" w:rsidP="00D8362B">
      <w:pPr>
        <w:numPr>
          <w:ilvl w:val="0"/>
          <w:numId w:val="1"/>
        </w:numPr>
        <w:spacing w:after="0" w:line="240" w:lineRule="auto"/>
        <w:ind w:left="0" w:hanging="2"/>
        <w:rPr>
          <w:color w:val="000000"/>
        </w:rPr>
      </w:pPr>
      <w:r w:rsidRPr="001A0FCE">
        <w:rPr>
          <w:color w:val="000000"/>
        </w:rPr>
        <w:t xml:space="preserve"> </w:t>
      </w:r>
      <w:r w:rsidR="00E71B51" w:rsidRPr="001A0FCE">
        <w:rPr>
          <w:color w:val="000000"/>
        </w:rPr>
        <w:t>Planta Piloto de Ingeniería Química (PLAPIQUI, UNS-CONICET).</w:t>
      </w:r>
      <w:r w:rsidR="00735CC3">
        <w:rPr>
          <w:color w:val="000000"/>
        </w:rPr>
        <w:t xml:space="preserve"> </w:t>
      </w:r>
    </w:p>
    <w:p w:rsidR="004C2953" w:rsidRPr="001A0FCE" w:rsidRDefault="00E71B51" w:rsidP="00D8362B">
      <w:pPr>
        <w:spacing w:after="0" w:line="240" w:lineRule="auto"/>
        <w:ind w:leftChars="0" w:left="0" w:firstLineChars="0" w:firstLine="0"/>
        <w:jc w:val="center"/>
        <w:rPr>
          <w:color w:val="000000"/>
        </w:rPr>
      </w:pPr>
      <w:r w:rsidRPr="001A0FCE">
        <w:rPr>
          <w:color w:val="000000"/>
        </w:rPr>
        <w:t>Bahía Blanca – Argentina.</w:t>
      </w:r>
    </w:p>
    <w:p w:rsidR="004C2953" w:rsidRDefault="00E71B51" w:rsidP="00735CC3">
      <w:pPr>
        <w:spacing w:before="200" w:after="0" w:line="240" w:lineRule="auto"/>
        <w:ind w:left="0" w:hanging="2"/>
        <w:rPr>
          <w:rFonts w:ascii="Times New Roman" w:eastAsia="Times New Roman" w:hAnsi="Times New Roman" w:cs="Times New Roman"/>
        </w:rPr>
      </w:pPr>
      <w:r>
        <w:rPr>
          <w:color w:val="000000"/>
        </w:rPr>
        <w:t>Dirección</w:t>
      </w:r>
      <w:r>
        <w:t xml:space="preserve"> de email: </w:t>
      </w:r>
      <w:hyperlink r:id="rId8">
        <w:r>
          <w:t>mcarrin@plapiqui.edu.ar</w:t>
        </w:r>
      </w:hyperlink>
      <w:r>
        <w:t>; abenestante@</w:t>
      </w:r>
      <w:r>
        <w:t>plapiqui.edu.ar</w:t>
      </w:r>
      <w:bookmarkStart w:id="0" w:name="_GoBack"/>
      <w:bookmarkEnd w:id="0"/>
    </w:p>
    <w:p w:rsidR="004C2953" w:rsidRDefault="004C2953">
      <w:pPr>
        <w:spacing w:after="0" w:line="240" w:lineRule="auto"/>
        <w:ind w:left="0" w:hanging="2"/>
        <w:jc w:val="left"/>
        <w:rPr>
          <w:rFonts w:ascii="Times New Roman" w:eastAsia="Times New Roman" w:hAnsi="Times New Roman" w:cs="Times New Roman"/>
        </w:rPr>
      </w:pPr>
    </w:p>
    <w:p w:rsidR="004C2953" w:rsidRDefault="00E71B51">
      <w:pPr>
        <w:spacing w:before="240" w:after="240" w:line="240" w:lineRule="auto"/>
        <w:ind w:left="0" w:hanging="2"/>
      </w:pPr>
      <w:r>
        <w:t xml:space="preserve">La industrialización creciente de alimentos implica un alza en la generación de residuos sólidos, algunos de los cuales no suelen tratarse adecuadamente para recuperar </w:t>
      </w:r>
      <w:proofErr w:type="spellStart"/>
      <w:r>
        <w:t>biocompuestos</w:t>
      </w:r>
      <w:proofErr w:type="spellEnd"/>
      <w:r>
        <w:t xml:space="preserve"> potencialmente comerciales. Actualmente, las semillas de limón forman part</w:t>
      </w:r>
      <w:r>
        <w:t>e de un subproducto industrial sin valor como tal. El objetivo de este trabajo fue evaluar el potencial de estas semillas para la obtención de compuestos antioxidantes empleando solventes “verdes”, como acetato de etilo (</w:t>
      </w:r>
      <w:proofErr w:type="spellStart"/>
      <w:r>
        <w:t>AcEt</w:t>
      </w:r>
      <w:proofErr w:type="spellEnd"/>
      <w:r>
        <w:t>) y etanol (</w:t>
      </w:r>
      <w:proofErr w:type="spellStart"/>
      <w:r>
        <w:t>EtOH</w:t>
      </w:r>
      <w:proofErr w:type="spellEnd"/>
      <w:r>
        <w:t>), que permitan</w:t>
      </w:r>
      <w:r>
        <w:t xml:space="preserve"> obtener extractos de carácter </w:t>
      </w:r>
      <w:proofErr w:type="spellStart"/>
      <w:r>
        <w:t>lipofílico</w:t>
      </w:r>
      <w:proofErr w:type="spellEnd"/>
      <w:r>
        <w:t xml:space="preserve"> e </w:t>
      </w:r>
      <w:proofErr w:type="spellStart"/>
      <w:r>
        <w:t>hidrofílico</w:t>
      </w:r>
      <w:proofErr w:type="spellEnd"/>
      <w:r>
        <w:t xml:space="preserve">, respectivamente. Las semillas de limón secas y molidas (1,3 g) se sometieron a extracciones sucesivas utilizando un sistema </w:t>
      </w:r>
      <w:proofErr w:type="spellStart"/>
      <w:r>
        <w:t>batch</w:t>
      </w:r>
      <w:proofErr w:type="spellEnd"/>
      <w:r>
        <w:t xml:space="preserve"> agitado a 50 °C. Las diferencias estadísticas fueron analizadas con </w:t>
      </w:r>
      <w:sdt>
        <w:sdtPr>
          <w:tag w:val="goog_rdk_0"/>
          <w:id w:val="-1772466529"/>
        </w:sdtPr>
        <w:sdtEndPr/>
        <w:sdtContent>
          <w:r>
            <w:rPr>
              <w:rFonts w:ascii="Arial Unicode MS" w:eastAsia="Arial Unicode MS" w:hAnsi="Arial Unicode MS" w:cs="Arial Unicode MS"/>
            </w:rPr>
            <w:t>∝</w:t>
          </w:r>
          <w:r>
            <w:rPr>
              <w:rFonts w:ascii="Arial Unicode MS" w:eastAsia="Arial Unicode MS" w:hAnsi="Arial Unicode MS" w:cs="Arial Unicode MS"/>
            </w:rPr>
            <w:t>=</w:t>
          </w:r>
        </w:sdtContent>
      </w:sdt>
      <w:r>
        <w:t xml:space="preserve">0,05. Con el fin de evaluar el efecto del tiempo de extracción, se realizaron dos etapas extractivas con 5 y 2,5 </w:t>
      </w:r>
      <w:proofErr w:type="spellStart"/>
      <w:r>
        <w:t>mL</w:t>
      </w:r>
      <w:proofErr w:type="spellEnd"/>
      <w:r>
        <w:t xml:space="preserve"> de </w:t>
      </w:r>
      <w:proofErr w:type="spellStart"/>
      <w:r>
        <w:t>AcEt</w:t>
      </w:r>
      <w:proofErr w:type="spellEnd"/>
      <w:r>
        <w:t xml:space="preserve"> por 30 y 60 min. No se encontraron diferencias significativas entre los rendimientos de extracción (RE) a los tiempos evaluados; </w:t>
      </w:r>
      <w:r>
        <w:t xml:space="preserve">por lo tanto, 30 min fue elegido como el tiempo suficiente para cada etapa. Posteriormente, se evaluó el efecto del volumen de solvente en los RE y en la actividad </w:t>
      </w:r>
      <w:proofErr w:type="spellStart"/>
      <w:r>
        <w:t>antirradicalaria</w:t>
      </w:r>
      <w:proofErr w:type="spellEnd"/>
      <w:r>
        <w:t xml:space="preserve"> (AAR) de los extractos acumulados para cada uno de los solventes y etapas a</w:t>
      </w:r>
      <w:r>
        <w:t>nalizadas, planteando dos esquemas de extracción: usando 5</w:t>
      </w:r>
      <w:r w:rsidR="00781B7A">
        <w:t>;</w:t>
      </w:r>
      <w:r>
        <w:t xml:space="preserve"> 2,5</w:t>
      </w:r>
      <w:r w:rsidR="00781B7A">
        <w:t>;</w:t>
      </w:r>
      <w:r>
        <w:t xml:space="preserve"> 2 y 1 </w:t>
      </w:r>
      <w:proofErr w:type="spellStart"/>
      <w:r>
        <w:t>mL</w:t>
      </w:r>
      <w:proofErr w:type="spellEnd"/>
      <w:r>
        <w:t xml:space="preserve"> </w:t>
      </w:r>
      <w:proofErr w:type="spellStart"/>
      <w:r>
        <w:t>AcEt</w:t>
      </w:r>
      <w:proofErr w:type="spellEnd"/>
      <w:r>
        <w:t xml:space="preserve"> seguido de 5</w:t>
      </w:r>
      <w:r w:rsidR="00781B7A">
        <w:t>;</w:t>
      </w:r>
      <w:r>
        <w:t xml:space="preserve"> 2,5</w:t>
      </w:r>
      <w:r w:rsidR="00781B7A">
        <w:t>;</w:t>
      </w:r>
      <w:r>
        <w:t xml:space="preserve"> 2 y 1 </w:t>
      </w:r>
      <w:proofErr w:type="spellStart"/>
      <w:r>
        <w:t>mL</w:t>
      </w:r>
      <w:proofErr w:type="spellEnd"/>
      <w:r>
        <w:t xml:space="preserve"> </w:t>
      </w:r>
      <w:proofErr w:type="spellStart"/>
      <w:r>
        <w:t>EtOH</w:t>
      </w:r>
      <w:proofErr w:type="spellEnd"/>
      <w:r>
        <w:t xml:space="preserve"> 70% (C1) y 7,5</w:t>
      </w:r>
      <w:r w:rsidR="00781B7A">
        <w:t>;</w:t>
      </w:r>
      <w:r>
        <w:t xml:space="preserve"> 5</w:t>
      </w:r>
      <w:r w:rsidR="00781B7A">
        <w:t>;</w:t>
      </w:r>
      <w:r>
        <w:t xml:space="preserve"> 3 y 2 </w:t>
      </w:r>
      <w:proofErr w:type="spellStart"/>
      <w:r>
        <w:t>mL</w:t>
      </w:r>
      <w:proofErr w:type="spellEnd"/>
      <w:r>
        <w:t xml:space="preserve"> </w:t>
      </w:r>
      <w:proofErr w:type="spellStart"/>
      <w:r>
        <w:t>AcEt</w:t>
      </w:r>
      <w:proofErr w:type="spellEnd"/>
      <w:r>
        <w:t xml:space="preserve"> seguido de los mismos volúmenes de </w:t>
      </w:r>
      <w:proofErr w:type="spellStart"/>
      <w:r>
        <w:t>EtOH</w:t>
      </w:r>
      <w:proofErr w:type="spellEnd"/>
      <w:r>
        <w:t xml:space="preserve"> 70% utilizados en C1 (C2). Respecto a la evaluación del volumen de </w:t>
      </w:r>
      <w:proofErr w:type="spellStart"/>
      <w:r>
        <w:t>AcEt</w:t>
      </w:r>
      <w:proofErr w:type="spellEnd"/>
      <w:r>
        <w:t>, se comprobó que el RE fue mayor empleando más solvente (C2), obteniéndose el máximo rendimiento desde la tercera etapa (0,296±0,016 y 0,335±0,011 g extracto/g harina (</w:t>
      </w:r>
      <w:proofErr w:type="spellStart"/>
      <w:r>
        <w:t>b.s</w:t>
      </w:r>
      <w:proofErr w:type="spellEnd"/>
      <w:r>
        <w:t xml:space="preserve">) para C1 y C2, respectivamente). Cabe remarcar que la segunda etapa en C1 presentó </w:t>
      </w:r>
      <w:r>
        <w:t xml:space="preserve">un mayor rendimiento respecto a la primera en C2, siendo el mismo volumen total de solvente; esto justifica la propuesta de trabajar con etapas sucesivas. A su vez, la AAR evaluada con </w:t>
      </w:r>
      <w:proofErr w:type="spellStart"/>
      <w:r>
        <w:t>AcEt</w:t>
      </w:r>
      <w:proofErr w:type="spellEnd"/>
      <w:r>
        <w:t xml:space="preserve"> aumentó conforme se incrementaron las etapas de extracción, obteni</w:t>
      </w:r>
      <w:r>
        <w:t xml:space="preserve">éndose el máximo desde la tercera etapa para ambas condiciones, sin encontrar diferencias significativas entre sí (0,720±0,079 </w:t>
      </w:r>
      <w:proofErr w:type="spellStart"/>
      <w:r>
        <w:t>μmol</w:t>
      </w:r>
      <w:proofErr w:type="spellEnd"/>
      <w:r>
        <w:t xml:space="preserve"> </w:t>
      </w:r>
      <w:proofErr w:type="spellStart"/>
      <w:r>
        <w:t>equiv</w:t>
      </w:r>
      <w:proofErr w:type="spellEnd"/>
      <w:r>
        <w:t xml:space="preserve">. </w:t>
      </w:r>
      <w:proofErr w:type="spellStart"/>
      <w:r>
        <w:t>Trolox</w:t>
      </w:r>
      <w:proofErr w:type="spellEnd"/>
      <w:r>
        <w:t>/g harina (</w:t>
      </w:r>
      <w:proofErr w:type="spellStart"/>
      <w:r>
        <w:t>b.s</w:t>
      </w:r>
      <w:proofErr w:type="spellEnd"/>
      <w:r>
        <w:t xml:space="preserve">.)). Las extracciones </w:t>
      </w:r>
      <w:proofErr w:type="spellStart"/>
      <w:r>
        <w:t>etanólicas</w:t>
      </w:r>
      <w:proofErr w:type="spellEnd"/>
      <w:r>
        <w:t xml:space="preserve"> en etapas sucesivas permitieron incrementar el RE hasta la terce</w:t>
      </w:r>
      <w:r>
        <w:t>ra etapa para C1 y C2, sin encontrarse diferencias entre sí (0,086±0,007 g extracto/g harina (</w:t>
      </w:r>
      <w:proofErr w:type="spellStart"/>
      <w:r>
        <w:t>b.s</w:t>
      </w:r>
      <w:proofErr w:type="spellEnd"/>
      <w:r>
        <w:t xml:space="preserve">)). También, se observó un aumento en la AAR hasta la tercera etapa para ambas condiciones, obteniéndose una mayor actividad para C1 (10,107±0,481 </w:t>
      </w:r>
      <w:proofErr w:type="spellStart"/>
      <w:r>
        <w:t>μmol</w:t>
      </w:r>
      <w:proofErr w:type="spellEnd"/>
      <w:r>
        <w:t xml:space="preserve"> </w:t>
      </w:r>
      <w:proofErr w:type="spellStart"/>
      <w:r>
        <w:t>equiv</w:t>
      </w:r>
      <w:proofErr w:type="spellEnd"/>
      <w:r>
        <w:t xml:space="preserve">. </w:t>
      </w:r>
      <w:proofErr w:type="spellStart"/>
      <w:r>
        <w:t>Trolox</w:t>
      </w:r>
      <w:proofErr w:type="spellEnd"/>
      <w:r>
        <w:t>/g harina (</w:t>
      </w:r>
      <w:proofErr w:type="spellStart"/>
      <w:r>
        <w:t>b.s</w:t>
      </w:r>
      <w:proofErr w:type="spellEnd"/>
      <w:r>
        <w:t xml:space="preserve">.)) comparada con C2 (8,047±0,664 </w:t>
      </w:r>
      <w:proofErr w:type="spellStart"/>
      <w:r>
        <w:t>μmolequiv</w:t>
      </w:r>
      <w:proofErr w:type="spellEnd"/>
      <w:r>
        <w:t xml:space="preserve">. </w:t>
      </w:r>
      <w:proofErr w:type="spellStart"/>
      <w:r>
        <w:t>Trolox</w:t>
      </w:r>
      <w:proofErr w:type="spellEnd"/>
      <w:r>
        <w:t>/g harina (</w:t>
      </w:r>
      <w:proofErr w:type="spellStart"/>
      <w:r>
        <w:t>b.s</w:t>
      </w:r>
      <w:proofErr w:type="spellEnd"/>
      <w:r>
        <w:t xml:space="preserve">.)). En resumen, tres etapas de extracción con </w:t>
      </w:r>
      <w:proofErr w:type="spellStart"/>
      <w:r>
        <w:t>AcEt</w:t>
      </w:r>
      <w:proofErr w:type="spellEnd"/>
      <w:r>
        <w:t xml:space="preserve"> y tres con </w:t>
      </w:r>
      <w:proofErr w:type="spellStart"/>
      <w:r>
        <w:t>EtOH</w:t>
      </w:r>
      <w:proofErr w:type="spellEnd"/>
      <w:r>
        <w:t xml:space="preserve"> 70% en C1 y C2 permitieron alcanzar RE y AAR similar a la obtenida en una etapa posterior. El efecto de</w:t>
      </w:r>
      <w:r>
        <w:t xml:space="preserve"> las etapas de extracción empleando dichos solventes en forma sucesiva contribuye a la obtención de distintos extractos </w:t>
      </w:r>
      <w:r>
        <w:lastRenderedPageBreak/>
        <w:t>(</w:t>
      </w:r>
      <w:proofErr w:type="spellStart"/>
      <w:r>
        <w:t>lipofílico</w:t>
      </w:r>
      <w:proofErr w:type="spellEnd"/>
      <w:r>
        <w:t>/</w:t>
      </w:r>
      <w:proofErr w:type="spellStart"/>
      <w:r>
        <w:t>hidrofílico</w:t>
      </w:r>
      <w:proofErr w:type="spellEnd"/>
      <w:r>
        <w:t xml:space="preserve">) con presencia de compuestos antioxidantes, y la elección de la condición óptima estará dada por los parámetros </w:t>
      </w:r>
      <w:r>
        <w:t xml:space="preserve">a maximizar, sea el RE o AAR. </w:t>
      </w:r>
    </w:p>
    <w:p w:rsidR="004C2953" w:rsidRDefault="00E71B51">
      <w:pPr>
        <w:spacing w:before="200" w:after="220" w:line="240" w:lineRule="auto"/>
        <w:ind w:left="0" w:hanging="2"/>
        <w:rPr>
          <w:rFonts w:ascii="Times New Roman" w:eastAsia="Times New Roman" w:hAnsi="Times New Roman" w:cs="Times New Roman"/>
        </w:rPr>
      </w:pPr>
      <w:r>
        <w:rPr>
          <w:b/>
          <w:color w:val="000000"/>
        </w:rPr>
        <w:t xml:space="preserve">Palabras clave: </w:t>
      </w:r>
      <w:r>
        <w:rPr>
          <w:color w:val="000000"/>
        </w:rPr>
        <w:t>acetato de etilo, etanol, semillas cítricas, extracción por etapas, rendimiento.</w:t>
      </w:r>
    </w:p>
    <w:p w:rsidR="004C2953" w:rsidRDefault="004C2953">
      <w:pPr>
        <w:spacing w:after="0" w:line="240" w:lineRule="auto"/>
        <w:ind w:left="0" w:hanging="2"/>
      </w:pPr>
    </w:p>
    <w:sectPr w:rsidR="004C2953">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51" w:rsidRDefault="00E71B51">
      <w:pPr>
        <w:spacing w:after="0" w:line="240" w:lineRule="auto"/>
        <w:ind w:left="0" w:hanging="2"/>
      </w:pPr>
      <w:r>
        <w:separator/>
      </w:r>
    </w:p>
  </w:endnote>
  <w:endnote w:type="continuationSeparator" w:id="0">
    <w:p w:rsidR="00E71B51" w:rsidRDefault="00E71B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3" w:rsidRDefault="004C2953">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3" w:rsidRDefault="004C2953">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3" w:rsidRDefault="004C2953">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51" w:rsidRDefault="00E71B51">
      <w:pPr>
        <w:spacing w:after="0" w:line="240" w:lineRule="auto"/>
        <w:ind w:left="0" w:hanging="2"/>
      </w:pPr>
      <w:r>
        <w:separator/>
      </w:r>
    </w:p>
  </w:footnote>
  <w:footnote w:type="continuationSeparator" w:id="0">
    <w:p w:rsidR="00E71B51" w:rsidRDefault="00E71B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3" w:rsidRDefault="004C2953">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3" w:rsidRDefault="00E71B5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w:t>
    </w:r>
    <w:r>
      <w:rPr>
        <w:b/>
        <w:i/>
        <w:color w:val="000000"/>
        <w:sz w:val="18"/>
        <w:szCs w:val="18"/>
        <w:highlight w:val="white"/>
      </w:rPr>
      <w:t>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3" w:rsidRDefault="004C2953">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33B10"/>
    <w:multiLevelType w:val="multilevel"/>
    <w:tmpl w:val="16066D30"/>
    <w:lvl w:ilvl="0">
      <w:start w:val="1"/>
      <w:numFmt w:val="decimal"/>
      <w:lvlText w:val="(%1)"/>
      <w:lvlJc w:val="left"/>
      <w:pPr>
        <w:ind w:left="4897" w:hanging="360"/>
      </w:pPr>
      <w:rPr>
        <w:u w:val="none"/>
      </w:rPr>
    </w:lvl>
    <w:lvl w:ilvl="1">
      <w:start w:val="1"/>
      <w:numFmt w:val="lowerLetter"/>
      <w:lvlText w:val="(%2)"/>
      <w:lvlJc w:val="left"/>
      <w:pPr>
        <w:ind w:left="5617" w:hanging="360"/>
      </w:pPr>
      <w:rPr>
        <w:u w:val="none"/>
      </w:rPr>
    </w:lvl>
    <w:lvl w:ilvl="2">
      <w:start w:val="1"/>
      <w:numFmt w:val="lowerRoman"/>
      <w:lvlText w:val="(%3)"/>
      <w:lvlJc w:val="right"/>
      <w:pPr>
        <w:ind w:left="6337" w:hanging="360"/>
      </w:pPr>
      <w:rPr>
        <w:u w:val="none"/>
      </w:rPr>
    </w:lvl>
    <w:lvl w:ilvl="3">
      <w:start w:val="1"/>
      <w:numFmt w:val="decimal"/>
      <w:lvlText w:val="%4)"/>
      <w:lvlJc w:val="left"/>
      <w:pPr>
        <w:ind w:left="7057" w:hanging="360"/>
      </w:pPr>
      <w:rPr>
        <w:u w:val="none"/>
      </w:rPr>
    </w:lvl>
    <w:lvl w:ilvl="4">
      <w:start w:val="1"/>
      <w:numFmt w:val="lowerLetter"/>
      <w:lvlText w:val="%5)"/>
      <w:lvlJc w:val="left"/>
      <w:pPr>
        <w:ind w:left="7777" w:hanging="360"/>
      </w:pPr>
      <w:rPr>
        <w:u w:val="none"/>
      </w:rPr>
    </w:lvl>
    <w:lvl w:ilvl="5">
      <w:start w:val="1"/>
      <w:numFmt w:val="lowerRoman"/>
      <w:lvlText w:val="%6)"/>
      <w:lvlJc w:val="right"/>
      <w:pPr>
        <w:ind w:left="8497" w:hanging="360"/>
      </w:pPr>
      <w:rPr>
        <w:u w:val="none"/>
      </w:rPr>
    </w:lvl>
    <w:lvl w:ilvl="6">
      <w:start w:val="1"/>
      <w:numFmt w:val="decimal"/>
      <w:lvlText w:val="%7."/>
      <w:lvlJc w:val="left"/>
      <w:pPr>
        <w:ind w:left="9217" w:hanging="360"/>
      </w:pPr>
      <w:rPr>
        <w:u w:val="none"/>
      </w:rPr>
    </w:lvl>
    <w:lvl w:ilvl="7">
      <w:start w:val="1"/>
      <w:numFmt w:val="lowerLetter"/>
      <w:lvlText w:val="%8."/>
      <w:lvlJc w:val="left"/>
      <w:pPr>
        <w:ind w:left="9937" w:hanging="360"/>
      </w:pPr>
      <w:rPr>
        <w:u w:val="none"/>
      </w:rPr>
    </w:lvl>
    <w:lvl w:ilvl="8">
      <w:start w:val="1"/>
      <w:numFmt w:val="lowerRoman"/>
      <w:lvlText w:val="%9."/>
      <w:lvlJc w:val="right"/>
      <w:pPr>
        <w:ind w:left="10657"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53"/>
    <w:rsid w:val="001A0FCE"/>
    <w:rsid w:val="004658B5"/>
    <w:rsid w:val="004C2953"/>
    <w:rsid w:val="00735CC3"/>
    <w:rsid w:val="00781B7A"/>
    <w:rsid w:val="00B63C35"/>
    <w:rsid w:val="00D8362B"/>
    <w:rsid w:val="00E71B51"/>
    <w:rsid w:val="00F57EC6"/>
    <w:rsid w:val="00FC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0B92"/>
  <w15:docId w15:val="{BB2890F4-03C8-4B98-8DB0-4EBCD278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71C8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rrin@plapiqui.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LByAnKS15xHHQFXnLvp8fpr5QA==">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554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9</cp:revision>
  <dcterms:created xsi:type="dcterms:W3CDTF">2022-06-21T15:04:00Z</dcterms:created>
  <dcterms:modified xsi:type="dcterms:W3CDTF">2022-08-03T15:10:00Z</dcterms:modified>
</cp:coreProperties>
</file>