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B59F" w14:textId="0DDBC3B4" w:rsidR="007074B2" w:rsidRDefault="00B51068">
      <w:pPr>
        <w:spacing w:after="0" w:line="240" w:lineRule="auto"/>
        <w:ind w:left="0" w:hanging="2"/>
        <w:jc w:val="center"/>
        <w:rPr>
          <w:b/>
          <w:color w:val="000000"/>
        </w:rPr>
      </w:pPr>
      <w:r>
        <w:rPr>
          <w:b/>
          <w:color w:val="000000"/>
        </w:rPr>
        <w:t xml:space="preserve">Primer análisis del genoma completo de una cepa de </w:t>
      </w:r>
      <w:proofErr w:type="spellStart"/>
      <w:r>
        <w:rPr>
          <w:b/>
          <w:i/>
          <w:color w:val="000000"/>
        </w:rPr>
        <w:t>Lacticaseibacillusparacasei</w:t>
      </w:r>
      <w:proofErr w:type="spellEnd"/>
      <w:r>
        <w:rPr>
          <w:b/>
          <w:color w:val="000000"/>
        </w:rPr>
        <w:t xml:space="preserve"> aislado de vinos tintos patagónicos y evaluación como cultivo iniciador.</w:t>
      </w:r>
    </w:p>
    <w:p w14:paraId="7A517E8F" w14:textId="77777777" w:rsidR="007074B2" w:rsidRDefault="007074B2">
      <w:pPr>
        <w:spacing w:after="0" w:line="240" w:lineRule="auto"/>
        <w:ind w:left="0" w:hanging="2"/>
        <w:jc w:val="center"/>
      </w:pPr>
    </w:p>
    <w:p w14:paraId="23712013" w14:textId="6472DC45" w:rsidR="007074B2" w:rsidRDefault="00B51068">
      <w:pPr>
        <w:spacing w:after="0" w:line="240" w:lineRule="auto"/>
        <w:ind w:left="0" w:hanging="2"/>
        <w:jc w:val="center"/>
      </w:pPr>
      <w:r>
        <w:t>Navarro M</w:t>
      </w:r>
      <w:r w:rsidR="009855CB">
        <w:t xml:space="preserve"> (1)</w:t>
      </w:r>
      <w:r>
        <w:t>, Brizuela NS</w:t>
      </w:r>
      <w:r w:rsidR="009855CB">
        <w:t xml:space="preserve"> (1)</w:t>
      </w:r>
      <w:r>
        <w:t>, Iglesias NG</w:t>
      </w:r>
      <w:r w:rsidR="009855CB">
        <w:t xml:space="preserve"> (1)</w:t>
      </w:r>
      <w:r>
        <w:t xml:space="preserve">, </w:t>
      </w:r>
      <w:proofErr w:type="spellStart"/>
      <w:r>
        <w:t>Tym</w:t>
      </w:r>
      <w:proofErr w:type="spellEnd"/>
      <w:r>
        <w:t xml:space="preserve"> EE</w:t>
      </w:r>
      <w:r w:rsidR="009855CB">
        <w:t xml:space="preserve"> (1)</w:t>
      </w:r>
      <w:r w:rsidR="00E84B0D">
        <w:t>,</w:t>
      </w:r>
      <w:r>
        <w:t xml:space="preserve"> Bravo-Ferrada BM</w:t>
      </w:r>
      <w:r w:rsidR="009855CB">
        <w:t xml:space="preserve"> (1)</w:t>
      </w:r>
    </w:p>
    <w:p w14:paraId="45E83093" w14:textId="77777777" w:rsidR="007074B2" w:rsidRDefault="007074B2">
      <w:pPr>
        <w:spacing w:after="0" w:line="240" w:lineRule="auto"/>
        <w:ind w:left="0" w:hanging="2"/>
        <w:jc w:val="center"/>
      </w:pPr>
    </w:p>
    <w:p w14:paraId="779C4FAA" w14:textId="74EAD44B" w:rsidR="007074B2" w:rsidRPr="00256920" w:rsidRDefault="009855CB" w:rsidP="00256920">
      <w:pPr>
        <w:spacing w:line="240" w:lineRule="auto"/>
        <w:ind w:left="0" w:hanging="2"/>
        <w:jc w:val="left"/>
      </w:pPr>
      <w:r>
        <w:t xml:space="preserve">(1) </w:t>
      </w:r>
      <w:r w:rsidR="00256920" w:rsidRPr="00C03620">
        <w:t>Universidad Nacional de Quilmes, Roque Sáenz Peña 352, Bernal, Provincia de Buenos Aires, Argentina.</w:t>
      </w:r>
    </w:p>
    <w:p w14:paraId="42A92BE9" w14:textId="4527D49E" w:rsidR="007074B2" w:rsidRDefault="00B51068">
      <w:pPr>
        <w:pStyle w:val="Ttulo2"/>
        <w:spacing w:after="0" w:line="240" w:lineRule="auto"/>
        <w:ind w:left="0" w:hanging="2"/>
        <w:jc w:val="left"/>
      </w:pPr>
      <w:r>
        <w:t>marina.edith.navarro@gmail.com</w:t>
      </w:r>
    </w:p>
    <w:p w14:paraId="6F066CEC" w14:textId="77777777" w:rsidR="007074B2" w:rsidRDefault="007074B2">
      <w:pPr>
        <w:spacing w:after="0" w:line="240" w:lineRule="auto"/>
        <w:ind w:left="0" w:hanging="2"/>
      </w:pPr>
    </w:p>
    <w:p w14:paraId="25775375" w14:textId="41B675D9" w:rsidR="007074B2" w:rsidRPr="004A3DD3" w:rsidRDefault="00B51068" w:rsidP="008258B2">
      <w:pPr>
        <w:spacing w:after="0" w:line="240" w:lineRule="auto"/>
        <w:ind w:left="0" w:hanging="2"/>
      </w:pPr>
      <w:r>
        <w:t xml:space="preserve">La fermentación maloláctica (FML) en vinos, es el proceso por el cual el ácido málico se </w:t>
      </w:r>
      <w:proofErr w:type="spellStart"/>
      <w:r>
        <w:t>decarboxila</w:t>
      </w:r>
      <w:proofErr w:type="spellEnd"/>
      <w:r>
        <w:t xml:space="preserve"> dando ácido láctico. Este proceso ocurre por medio de bacterias lácticas, presentes de forma natural en las uvas y mostos o bien inoculadas como cultivos iniciadores. El principal efecto de la FML es la reducción de la acidez, ya que el ácido láctico se percibe mucho más suave en boca. La mayoría de los vinos tintos elaborados en el mundo se someten a la FML</w:t>
      </w:r>
      <w:r w:rsidR="00D66F24">
        <w:t xml:space="preserve"> </w:t>
      </w:r>
      <w:r w:rsidR="00176E9E" w:rsidRPr="00C03620">
        <w:t>por</w:t>
      </w:r>
      <w:r w:rsidR="00D66F24">
        <w:t xml:space="preserve"> </w:t>
      </w:r>
      <w:r w:rsidRPr="00C03620">
        <w:t xml:space="preserve">reducción de la acidez, </w:t>
      </w:r>
      <w:r w:rsidR="00176E9E" w:rsidRPr="00C03620">
        <w:t>así como, por</w:t>
      </w:r>
      <w:r>
        <w:t xml:space="preserve"> la contribución a la estabilidad microbiológica y, a la producción de otros metabolitos que mejoran el </w:t>
      </w:r>
      <w:proofErr w:type="spellStart"/>
      <w:r w:rsidRPr="005872D3">
        <w:rPr>
          <w:i/>
        </w:rPr>
        <w:t>flavor</w:t>
      </w:r>
      <w:proofErr w:type="spellEnd"/>
      <w:r>
        <w:t xml:space="preserve"> del vino. La especie </w:t>
      </w:r>
      <w:proofErr w:type="spellStart"/>
      <w:r>
        <w:rPr>
          <w:i/>
        </w:rPr>
        <w:t>Lacticaseibacillus</w:t>
      </w:r>
      <w:proofErr w:type="spellEnd"/>
      <w:r w:rsidR="00D66F24">
        <w:rPr>
          <w:i/>
        </w:rPr>
        <w:t xml:space="preserve"> </w:t>
      </w:r>
      <w:proofErr w:type="spellStart"/>
      <w:r>
        <w:rPr>
          <w:i/>
        </w:rPr>
        <w:t>paracasei</w:t>
      </w:r>
      <w:proofErr w:type="spellEnd"/>
      <w:r>
        <w:t xml:space="preserve"> son bacilos </w:t>
      </w:r>
      <w:proofErr w:type="spellStart"/>
      <w:r>
        <w:t>gram</w:t>
      </w:r>
      <w:proofErr w:type="spellEnd"/>
      <w:r>
        <w:t xml:space="preserve"> positivos y </w:t>
      </w:r>
      <w:proofErr w:type="spellStart"/>
      <w:r>
        <w:t>h</w:t>
      </w:r>
      <w:r w:rsidR="008258B2">
        <w:t>eterofermentadores</w:t>
      </w:r>
      <w:proofErr w:type="spellEnd"/>
      <w:r w:rsidR="008258B2">
        <w:t xml:space="preserve"> facultativos que son utilizados en gran variedad de alimentos </w:t>
      </w:r>
      <w:r>
        <w:t>fermentados, en especial en la indus</w:t>
      </w:r>
      <w:r w:rsidR="008258B2">
        <w:t xml:space="preserve">tria láctea para producir queso y yogur, </w:t>
      </w:r>
      <w:r>
        <w:t xml:space="preserve">entre otros. Así mismo, se ha descripto como parte de la biodiversidad bacteriana de los vinos tintos, lo cual indica su capacidad de sobrevivir en las condiciones adversas del vino, como son la acidez y las altas concentraciones de etanol. </w:t>
      </w:r>
      <w:proofErr w:type="spellStart"/>
      <w:r>
        <w:rPr>
          <w:i/>
        </w:rPr>
        <w:t>Lcb</w:t>
      </w:r>
      <w:proofErr w:type="spellEnd"/>
      <w:r>
        <w:rPr>
          <w:i/>
        </w:rPr>
        <w:t xml:space="preserve">. </w:t>
      </w:r>
      <w:proofErr w:type="spellStart"/>
      <w:r>
        <w:rPr>
          <w:i/>
        </w:rPr>
        <w:t>paracasei</w:t>
      </w:r>
      <w:proofErr w:type="spellEnd"/>
      <w:r>
        <w:t xml:space="preserve"> UNQLpc10 fue aislada de un vino Malbec patagónico en la bodega comercial más antigua de General Roca, Patagonia Norte. </w:t>
      </w:r>
      <w:r w:rsidRPr="00C03620">
        <w:t>El objetivo de este trabajo fue evaluar la supervivencia de UNQLpc10 en condiciones similares a las del vino patagónico (concentración de etano</w:t>
      </w:r>
      <w:r w:rsidR="005872D3" w:rsidRPr="00C03620">
        <w:t>l</w:t>
      </w:r>
      <w:r w:rsidRPr="00C03620">
        <w:t xml:space="preserve"> 14% v/v, pH 3,5) y, su capacidad para consumir ácido L-málico.</w:t>
      </w:r>
      <w:r w:rsidR="0049230E">
        <w:t xml:space="preserve"> </w:t>
      </w:r>
      <w:r w:rsidR="005872D3" w:rsidRPr="0049230E">
        <w:t xml:space="preserve">Para ello se </w:t>
      </w:r>
      <w:r w:rsidR="00D66F24" w:rsidRPr="0049230E">
        <w:t xml:space="preserve">realizaron </w:t>
      </w:r>
      <w:proofErr w:type="spellStart"/>
      <w:r w:rsidR="00EF7010" w:rsidRPr="0049230E">
        <w:t>vinificación</w:t>
      </w:r>
      <w:r w:rsidR="00D66F24" w:rsidRPr="0049230E">
        <w:t>es</w:t>
      </w:r>
      <w:proofErr w:type="spellEnd"/>
      <w:r w:rsidR="00EF7010" w:rsidRPr="0049230E">
        <w:t xml:space="preserve"> a escala de laboratorio utilizando vino sintético y se analizó la supervivencia de UNQLpc10 por</w:t>
      </w:r>
      <w:r w:rsidR="00D66F24" w:rsidRPr="0049230E">
        <w:t xml:space="preserve"> </w:t>
      </w:r>
      <w:r w:rsidR="005872D3" w:rsidRPr="0049230E">
        <w:t xml:space="preserve">recuentos </w:t>
      </w:r>
      <w:r w:rsidR="00C03620" w:rsidRPr="0049230E">
        <w:t xml:space="preserve">en placa. </w:t>
      </w:r>
      <w:r w:rsidR="00106E15" w:rsidRPr="0049230E">
        <w:t>También</w:t>
      </w:r>
      <w:r w:rsidR="00C03620" w:rsidRPr="0049230E">
        <w:t xml:space="preserve"> se cua</w:t>
      </w:r>
      <w:r w:rsidR="00106E15" w:rsidRPr="0049230E">
        <w:t>ntificó</w:t>
      </w:r>
      <w:r w:rsidR="00D66F24" w:rsidRPr="0049230E">
        <w:t xml:space="preserve"> el </w:t>
      </w:r>
      <w:r w:rsidR="00C03620" w:rsidRPr="0049230E">
        <w:t xml:space="preserve">ácido </w:t>
      </w:r>
      <w:r w:rsidR="005872D3" w:rsidRPr="0049230E">
        <w:t>L-m</w:t>
      </w:r>
      <w:r w:rsidR="005872D3" w:rsidRPr="00C03620">
        <w:t xml:space="preserve">álico </w:t>
      </w:r>
      <w:r w:rsidR="004A3DD3" w:rsidRPr="00C03620">
        <w:t>remanente</w:t>
      </w:r>
      <w:r w:rsidR="00D66F24">
        <w:t xml:space="preserve"> </w:t>
      </w:r>
      <w:r w:rsidR="00EF7010" w:rsidRPr="00C03620">
        <w:t xml:space="preserve">en el vino </w:t>
      </w:r>
      <w:r w:rsidR="004A3DD3" w:rsidRPr="00C03620">
        <w:t xml:space="preserve">mediante </w:t>
      </w:r>
      <w:r w:rsidR="00C03620" w:rsidRPr="00C03620">
        <w:t>un k</w:t>
      </w:r>
      <w:r w:rsidR="004A3DD3" w:rsidRPr="00C03620">
        <w:t>it enzimático (</w:t>
      </w:r>
      <w:proofErr w:type="spellStart"/>
      <w:r w:rsidR="004A3DD3" w:rsidRPr="00C03620">
        <w:rPr>
          <w:i/>
        </w:rPr>
        <w:t>Enology-Biosystem</w:t>
      </w:r>
      <w:proofErr w:type="spellEnd"/>
      <w:r w:rsidR="004A3DD3" w:rsidRPr="00C03620">
        <w:t>)</w:t>
      </w:r>
      <w:r w:rsidR="005872D3" w:rsidRPr="00C03620">
        <w:t>.</w:t>
      </w:r>
      <w:r w:rsidR="004A3DD3" w:rsidRPr="00C03620">
        <w:t xml:space="preserve"> UNQLpc10 mostró alta tolerancia a la incubación en vino durante 15 días con un consumo de </w:t>
      </w:r>
      <w:r w:rsidR="00EF7010" w:rsidRPr="00C03620">
        <w:t>málico</w:t>
      </w:r>
      <w:r w:rsidR="004A3DD3" w:rsidRPr="00C03620">
        <w:t xml:space="preserve"> superior al </w:t>
      </w:r>
      <w:r w:rsidR="00EF7010" w:rsidRPr="00C03620">
        <w:t xml:space="preserve">90 </w:t>
      </w:r>
      <w:r w:rsidR="004A3DD3" w:rsidRPr="00C03620">
        <w:t>%.</w:t>
      </w:r>
      <w:r w:rsidR="00D66F24">
        <w:t xml:space="preserve"> </w:t>
      </w:r>
      <w:r w:rsidRPr="00C03620">
        <w:t xml:space="preserve">Luego, con el fin de obtener más información sobre el potencial enológico de esta cepa, se realizó la extracción de ADN total, la posterior secuenciación y ensamblaje del genoma completo. El tamaño del genoma es de 3.052.122 pb, con un contenido medio de GC del 46,3%. El análisis </w:t>
      </w:r>
      <w:r w:rsidRPr="00C03620">
        <w:rPr>
          <w:i/>
        </w:rPr>
        <w:t xml:space="preserve">in </w:t>
      </w:r>
      <w:proofErr w:type="spellStart"/>
      <w:r w:rsidRPr="00C03620">
        <w:rPr>
          <w:i/>
        </w:rPr>
        <w:t>silico</w:t>
      </w:r>
      <w:proofErr w:type="spellEnd"/>
      <w:r w:rsidRPr="00C03620">
        <w:t xml:space="preserve"> de todo el genoma permitió confirmar la existencia de genes que codifican enzimas involucradas en la síntesis de varios metabolitos de interés enológico, además de genes de bacteriocinas y </w:t>
      </w:r>
      <w:proofErr w:type="spellStart"/>
      <w:r w:rsidRPr="00C03620">
        <w:t>exopolisacáridos</w:t>
      </w:r>
      <w:proofErr w:type="spellEnd"/>
      <w:r w:rsidRPr="00C03620">
        <w:t xml:space="preserve">. Asimismo, este análisis reveló la ausencia de genes que codifican aminas biogénicas (compuestos indeseables en el vino) y la presencia de genes responsables de la síntesis de aromas en el vino, que son de utilidad en la elección de cultivo iniciador </w:t>
      </w:r>
      <w:proofErr w:type="spellStart"/>
      <w:r w:rsidRPr="00C03620">
        <w:t>maloláctico</w:t>
      </w:r>
      <w:proofErr w:type="spellEnd"/>
      <w:r w:rsidRPr="00C03620">
        <w:t>. Todas estas características sugieren</w:t>
      </w:r>
      <w:r w:rsidR="00FF2E25" w:rsidRPr="00C03620">
        <w:t xml:space="preserve"> que</w:t>
      </w:r>
      <w:r w:rsidRPr="00C03620">
        <w:t xml:space="preserve"> UNQLpc10 </w:t>
      </w:r>
      <w:r w:rsidR="00C03620" w:rsidRPr="00C03620">
        <w:t xml:space="preserve">presenta </w:t>
      </w:r>
      <w:proofErr w:type="spellStart"/>
      <w:r w:rsidR="00C03620" w:rsidRPr="00C03620">
        <w:t>gran</w:t>
      </w:r>
      <w:r w:rsidR="00FF2E25" w:rsidRPr="00C03620">
        <w:t>potencial</w:t>
      </w:r>
      <w:proofErr w:type="spellEnd"/>
      <w:r w:rsidR="00FF2E25" w:rsidRPr="00C03620">
        <w:t xml:space="preserve"> </w:t>
      </w:r>
      <w:r w:rsidR="00C03620" w:rsidRPr="00C03620">
        <w:t xml:space="preserve">como </w:t>
      </w:r>
      <w:r w:rsidRPr="00C03620">
        <w:t xml:space="preserve">cultivo iniciador </w:t>
      </w:r>
      <w:r w:rsidR="00FF2E25" w:rsidRPr="00C03620">
        <w:t>comercial</w:t>
      </w:r>
      <w:r w:rsidR="00C03620" w:rsidRPr="00C03620">
        <w:t xml:space="preserve"> para </w:t>
      </w:r>
      <w:r w:rsidR="00FF2E25" w:rsidRPr="00C03620">
        <w:t xml:space="preserve">realizar </w:t>
      </w:r>
      <w:proofErr w:type="spellStart"/>
      <w:r w:rsidR="00FF2E25" w:rsidRPr="00C03620">
        <w:t>FMLexitosamente</w:t>
      </w:r>
      <w:proofErr w:type="spellEnd"/>
      <w:r w:rsidR="00FF2E25" w:rsidRPr="00C03620">
        <w:t>.</w:t>
      </w:r>
    </w:p>
    <w:p w14:paraId="6DC98691" w14:textId="77777777" w:rsidR="007074B2" w:rsidRDefault="007074B2">
      <w:pPr>
        <w:spacing w:after="0" w:line="240" w:lineRule="auto"/>
        <w:ind w:left="0" w:hanging="2"/>
      </w:pPr>
    </w:p>
    <w:p w14:paraId="13F20D17" w14:textId="084017C2" w:rsidR="007074B2" w:rsidRPr="009855CB" w:rsidRDefault="00B51068" w:rsidP="009855CB">
      <w:pPr>
        <w:spacing w:after="0" w:line="240" w:lineRule="auto"/>
        <w:ind w:left="0" w:hanging="2"/>
      </w:pPr>
      <w:r>
        <w:lastRenderedPageBreak/>
        <w:t>Palabras Clave:</w:t>
      </w:r>
      <w:r w:rsidR="00B97758">
        <w:t xml:space="preserve"> </w:t>
      </w:r>
      <w:r>
        <w:t xml:space="preserve">vino, </w:t>
      </w:r>
      <w:proofErr w:type="spellStart"/>
      <w:r>
        <w:rPr>
          <w:i/>
        </w:rPr>
        <w:t>Lacticaseibacillusparacasei</w:t>
      </w:r>
      <w:proofErr w:type="spellEnd"/>
      <w:r>
        <w:t xml:space="preserve">, genoma completo, fermentación </w:t>
      </w:r>
      <w:proofErr w:type="spellStart"/>
      <w:r>
        <w:t>maloláctica</w:t>
      </w:r>
      <w:proofErr w:type="spellEnd"/>
      <w:r>
        <w:t xml:space="preserve">, análisis </w:t>
      </w:r>
      <w:r>
        <w:rPr>
          <w:i/>
        </w:rPr>
        <w:t xml:space="preserve">in </w:t>
      </w:r>
      <w:proofErr w:type="spellStart"/>
      <w:r>
        <w:rPr>
          <w:i/>
        </w:rPr>
        <w:t>silico</w:t>
      </w:r>
      <w:proofErr w:type="spellEnd"/>
      <w:r>
        <w:t>.</w:t>
      </w:r>
    </w:p>
    <w:sectPr w:rsidR="007074B2" w:rsidRPr="009855CB" w:rsidSect="003B2302">
      <w:headerReference w:type="default" r:id="rId7"/>
      <w:pgSz w:w="11907" w:h="16840"/>
      <w:pgMar w:top="1417" w:right="1701" w:bottom="1417" w:left="1701" w:header="794"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F7A7" w14:textId="77777777" w:rsidR="009E2C16" w:rsidRDefault="009E2C16">
      <w:pPr>
        <w:spacing w:after="0" w:line="240" w:lineRule="auto"/>
        <w:ind w:left="0" w:hanging="2"/>
      </w:pPr>
      <w:r>
        <w:separator/>
      </w:r>
    </w:p>
  </w:endnote>
  <w:endnote w:type="continuationSeparator" w:id="0">
    <w:p w14:paraId="06EA2B13" w14:textId="77777777" w:rsidR="009E2C16" w:rsidRDefault="009E2C1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E848" w14:textId="77777777" w:rsidR="009E2C16" w:rsidRDefault="009E2C16">
      <w:pPr>
        <w:spacing w:after="0" w:line="240" w:lineRule="auto"/>
        <w:ind w:left="0" w:hanging="2"/>
      </w:pPr>
      <w:r>
        <w:separator/>
      </w:r>
    </w:p>
  </w:footnote>
  <w:footnote w:type="continuationSeparator" w:id="0">
    <w:p w14:paraId="47BCF04F" w14:textId="77777777" w:rsidR="009E2C16" w:rsidRDefault="009E2C1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80CF" w14:textId="77777777" w:rsidR="007074B2" w:rsidRDefault="00B51068">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lang w:eastAsia="es-AR"/>
      </w:rPr>
      <w:drawing>
        <wp:anchor distT="0" distB="0" distL="114300" distR="114300" simplePos="0" relativeHeight="251658240" behindDoc="0" locked="0" layoutInCell="1" allowOverlap="1" wp14:anchorId="1AC8FFB7" wp14:editId="2C06DB9C">
          <wp:simplePos x="0" y="0"/>
          <wp:positionH relativeFrom="column">
            <wp:posOffset>5718</wp:posOffset>
          </wp:positionH>
          <wp:positionV relativeFrom="paragraph">
            <wp:posOffset>-274952</wp:posOffset>
          </wp:positionV>
          <wp:extent cx="676275" cy="65722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B2"/>
    <w:rsid w:val="00090497"/>
    <w:rsid w:val="00106E15"/>
    <w:rsid w:val="00176E9E"/>
    <w:rsid w:val="00236DE6"/>
    <w:rsid w:val="00256920"/>
    <w:rsid w:val="00325012"/>
    <w:rsid w:val="003B2302"/>
    <w:rsid w:val="003B482C"/>
    <w:rsid w:val="003C60D8"/>
    <w:rsid w:val="00431AFF"/>
    <w:rsid w:val="0049230E"/>
    <w:rsid w:val="004A3DD3"/>
    <w:rsid w:val="004A44B5"/>
    <w:rsid w:val="004C145A"/>
    <w:rsid w:val="005872D3"/>
    <w:rsid w:val="005A607C"/>
    <w:rsid w:val="007074B2"/>
    <w:rsid w:val="00715DD4"/>
    <w:rsid w:val="008258B2"/>
    <w:rsid w:val="009855CB"/>
    <w:rsid w:val="009E2C16"/>
    <w:rsid w:val="009E44FE"/>
    <w:rsid w:val="009E7CDD"/>
    <w:rsid w:val="00B115AE"/>
    <w:rsid w:val="00B35A28"/>
    <w:rsid w:val="00B51068"/>
    <w:rsid w:val="00B97758"/>
    <w:rsid w:val="00C021B3"/>
    <w:rsid w:val="00C03620"/>
    <w:rsid w:val="00D50B4C"/>
    <w:rsid w:val="00D66F24"/>
    <w:rsid w:val="00DD3C2E"/>
    <w:rsid w:val="00E84B0D"/>
    <w:rsid w:val="00EF7010"/>
    <w:rsid w:val="00F338B5"/>
    <w:rsid w:val="00FF2E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9644"/>
  <w15:docId w15:val="{BD3D2924-AADD-4633-92F4-6CF79A23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AR" w:eastAsia="es-AR" w:bidi="ar-SA"/>
      </w:rPr>
    </w:rPrDefault>
    <w:pPrDefault>
      <w:pPr>
        <w:spacing w:after="200" w:line="276"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AC"/>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rsid w:val="002E3FAC"/>
    <w:pPr>
      <w:jc w:val="center"/>
    </w:pPr>
    <w:rPr>
      <w:rFonts w:cs="Times New Roman"/>
      <w:b/>
    </w:rPr>
  </w:style>
  <w:style w:type="paragraph" w:styleId="Ttulo2">
    <w:name w:val="heading 2"/>
    <w:basedOn w:val="Normal"/>
    <w:next w:val="Normal"/>
    <w:uiPriority w:val="9"/>
    <w:unhideWhenUsed/>
    <w:qFormat/>
    <w:rsid w:val="002E3FAC"/>
    <w:pPr>
      <w:jc w:val="center"/>
      <w:outlineLvl w:val="1"/>
    </w:pPr>
    <w:rPr>
      <w:rFonts w:cs="Times New Roman"/>
    </w:rPr>
  </w:style>
  <w:style w:type="paragraph" w:styleId="Ttulo3">
    <w:name w:val="heading 3"/>
    <w:basedOn w:val="Normal"/>
    <w:next w:val="Normal"/>
    <w:uiPriority w:val="9"/>
    <w:semiHidden/>
    <w:unhideWhenUsed/>
    <w:qFormat/>
    <w:rsid w:val="002E3FAC"/>
    <w:pPr>
      <w:jc w:val="center"/>
      <w:outlineLvl w:val="2"/>
    </w:pPr>
    <w:rPr>
      <w:rFonts w:cs="Times New Roman"/>
    </w:rPr>
  </w:style>
  <w:style w:type="paragraph" w:styleId="Ttulo4">
    <w:name w:val="heading 4"/>
    <w:basedOn w:val="Normal"/>
    <w:next w:val="Normal"/>
    <w:uiPriority w:val="9"/>
    <w:semiHidden/>
    <w:unhideWhenUsed/>
    <w:qFormat/>
    <w:rsid w:val="002E3FAC"/>
    <w:pPr>
      <w:keepNext/>
      <w:keepLines/>
      <w:spacing w:before="240" w:after="40"/>
      <w:outlineLvl w:val="3"/>
    </w:pPr>
    <w:rPr>
      <w:b/>
    </w:rPr>
  </w:style>
  <w:style w:type="paragraph" w:styleId="Ttulo5">
    <w:name w:val="heading 5"/>
    <w:basedOn w:val="Normal"/>
    <w:next w:val="Normal"/>
    <w:uiPriority w:val="9"/>
    <w:semiHidden/>
    <w:unhideWhenUsed/>
    <w:qFormat/>
    <w:rsid w:val="002E3FAC"/>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2E3FA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B2302"/>
    <w:tblPr>
      <w:tblCellMar>
        <w:top w:w="0" w:type="dxa"/>
        <w:left w:w="0" w:type="dxa"/>
        <w:bottom w:w="0" w:type="dxa"/>
        <w:right w:w="0" w:type="dxa"/>
      </w:tblCellMar>
    </w:tblPr>
  </w:style>
  <w:style w:type="paragraph" w:styleId="Ttulo">
    <w:name w:val="Title"/>
    <w:basedOn w:val="Normal"/>
    <w:next w:val="Normal"/>
    <w:uiPriority w:val="10"/>
    <w:qFormat/>
    <w:rsid w:val="002E3FAC"/>
    <w:pPr>
      <w:keepNext/>
      <w:keepLines/>
      <w:spacing w:before="480" w:after="120"/>
    </w:pPr>
    <w:rPr>
      <w:b/>
      <w:sz w:val="72"/>
      <w:szCs w:val="72"/>
    </w:rPr>
  </w:style>
  <w:style w:type="table" w:customStyle="1" w:styleId="TableNormal0">
    <w:name w:val="Table Normal"/>
    <w:rsid w:val="002E3FAC"/>
    <w:tblPr>
      <w:tblCellMar>
        <w:top w:w="0" w:type="dxa"/>
        <w:left w:w="0" w:type="dxa"/>
        <w:bottom w:w="0" w:type="dxa"/>
        <w:right w:w="0" w:type="dxa"/>
      </w:tblCellMar>
    </w:tblPr>
  </w:style>
  <w:style w:type="table" w:customStyle="1" w:styleId="TableNormal1">
    <w:name w:val="Table Normal"/>
    <w:rsid w:val="002E3FAC"/>
    <w:tblPr>
      <w:tblCellMar>
        <w:top w:w="0" w:type="dxa"/>
        <w:left w:w="0" w:type="dxa"/>
        <w:bottom w:w="0" w:type="dxa"/>
        <w:right w:w="0" w:type="dxa"/>
      </w:tblCellMar>
    </w:tblPr>
  </w:style>
  <w:style w:type="character" w:styleId="Hipervnculo">
    <w:name w:val="Hyperlink"/>
    <w:rsid w:val="002E3FAC"/>
    <w:rPr>
      <w:color w:val="0000FF"/>
      <w:w w:val="100"/>
      <w:position w:val="-1"/>
      <w:u w:val="single"/>
      <w:effect w:val="none"/>
      <w:vertAlign w:val="baseline"/>
      <w:cs w:val="0"/>
      <w:em w:val="none"/>
    </w:rPr>
  </w:style>
  <w:style w:type="character" w:customStyle="1" w:styleId="Ttulo1Car">
    <w:name w:val="Título 1 Car"/>
    <w:rsid w:val="002E3FAC"/>
    <w:rPr>
      <w:rFonts w:ascii="Arial" w:hAnsi="Arial" w:cs="Arial"/>
      <w:b/>
      <w:w w:val="100"/>
      <w:position w:val="-1"/>
      <w:sz w:val="24"/>
      <w:szCs w:val="24"/>
      <w:effect w:val="none"/>
      <w:vertAlign w:val="baseline"/>
      <w:cs w:val="0"/>
      <w:em w:val="none"/>
    </w:rPr>
  </w:style>
  <w:style w:type="character" w:customStyle="1" w:styleId="Ttulo2Car">
    <w:name w:val="Título 2 Car"/>
    <w:rsid w:val="002E3FAC"/>
    <w:rPr>
      <w:rFonts w:ascii="Arial" w:hAnsi="Arial" w:cs="Arial"/>
      <w:w w:val="100"/>
      <w:position w:val="-1"/>
      <w:sz w:val="24"/>
      <w:szCs w:val="24"/>
      <w:effect w:val="none"/>
      <w:vertAlign w:val="baseline"/>
      <w:cs w:val="0"/>
      <w:em w:val="none"/>
    </w:rPr>
  </w:style>
  <w:style w:type="character" w:customStyle="1" w:styleId="Ttulo3Car">
    <w:name w:val="Título 3 Car"/>
    <w:rsid w:val="002E3FAC"/>
    <w:rPr>
      <w:rFonts w:ascii="Arial" w:hAnsi="Arial" w:cs="Arial"/>
      <w:w w:val="100"/>
      <w:position w:val="-1"/>
      <w:sz w:val="24"/>
      <w:szCs w:val="24"/>
      <w:effect w:val="none"/>
      <w:vertAlign w:val="baseline"/>
      <w:cs w:val="0"/>
      <w:em w:val="none"/>
    </w:rPr>
  </w:style>
  <w:style w:type="paragraph" w:styleId="Encabezado">
    <w:name w:val="header"/>
    <w:basedOn w:val="Normal"/>
    <w:qFormat/>
    <w:rsid w:val="002E3FAC"/>
    <w:pPr>
      <w:spacing w:after="0" w:line="240" w:lineRule="auto"/>
    </w:pPr>
    <w:rPr>
      <w:rFonts w:cs="Times New Roman"/>
    </w:rPr>
  </w:style>
  <w:style w:type="character" w:customStyle="1" w:styleId="EncabezadoCar">
    <w:name w:val="Encabezado Car"/>
    <w:rsid w:val="002E3FAC"/>
    <w:rPr>
      <w:rFonts w:ascii="Arial" w:hAnsi="Arial" w:cs="Arial"/>
      <w:w w:val="100"/>
      <w:position w:val="-1"/>
      <w:sz w:val="24"/>
      <w:szCs w:val="24"/>
      <w:effect w:val="none"/>
      <w:vertAlign w:val="baseline"/>
      <w:cs w:val="0"/>
      <w:em w:val="none"/>
    </w:rPr>
  </w:style>
  <w:style w:type="paragraph" w:styleId="Piedepgina">
    <w:name w:val="footer"/>
    <w:basedOn w:val="Normal"/>
    <w:qFormat/>
    <w:rsid w:val="002E3FAC"/>
    <w:pPr>
      <w:spacing w:after="0" w:line="240" w:lineRule="auto"/>
    </w:pPr>
    <w:rPr>
      <w:rFonts w:cs="Times New Roman"/>
    </w:rPr>
  </w:style>
  <w:style w:type="character" w:customStyle="1" w:styleId="PiedepginaCar">
    <w:name w:val="Pie de página Car"/>
    <w:rsid w:val="002E3FAC"/>
    <w:rPr>
      <w:rFonts w:ascii="Arial" w:hAnsi="Arial" w:cs="Arial"/>
      <w:w w:val="100"/>
      <w:position w:val="-1"/>
      <w:sz w:val="24"/>
      <w:szCs w:val="24"/>
      <w:effect w:val="none"/>
      <w:vertAlign w:val="baseline"/>
      <w:cs w:val="0"/>
      <w:em w:val="none"/>
    </w:rPr>
  </w:style>
  <w:style w:type="character" w:styleId="Textoennegrita">
    <w:name w:val="Strong"/>
    <w:rsid w:val="002E3FAC"/>
    <w:rPr>
      <w:b/>
      <w:bCs/>
      <w:w w:val="100"/>
      <w:position w:val="-1"/>
      <w:effect w:val="none"/>
      <w:vertAlign w:val="baseline"/>
      <w:cs w:val="0"/>
      <w:em w:val="none"/>
    </w:rPr>
  </w:style>
  <w:style w:type="paragraph" w:styleId="Textodeglobo">
    <w:name w:val="Balloon Text"/>
    <w:basedOn w:val="Normal"/>
    <w:qFormat/>
    <w:rsid w:val="002E3FAC"/>
    <w:pPr>
      <w:spacing w:after="0" w:line="240" w:lineRule="auto"/>
    </w:pPr>
    <w:rPr>
      <w:rFonts w:ascii="Segoe UI" w:hAnsi="Segoe UI" w:cs="Times New Roman"/>
      <w:sz w:val="18"/>
      <w:szCs w:val="18"/>
    </w:rPr>
  </w:style>
  <w:style w:type="character" w:customStyle="1" w:styleId="TextodegloboCar">
    <w:name w:val="Texto de globo Car"/>
    <w:rsid w:val="002E3FAC"/>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uiPriority w:val="11"/>
    <w:qFormat/>
    <w:rsid w:val="003B2302"/>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A47EB"/>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lang w:eastAsia="es-AR"/>
    </w:rPr>
  </w:style>
  <w:style w:type="paragraph" w:styleId="Prrafodelista">
    <w:name w:val="List Paragraph"/>
    <w:basedOn w:val="Normal"/>
    <w:uiPriority w:val="34"/>
    <w:qFormat/>
    <w:rsid w:val="00985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IHhFfDytaXaHAxduyMTWdShu3g==">AMUW2mUBWUnTayBaQkdpqfbzsiA2m0Q2vazeezD7FVFQz0NmmkY4YtCMdcZ/T57YsAm1EHcZb8pfjZPjYRLWSvdnDKdwJLWJD5MrydZoX/R8/IN354/x+7o=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2708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Abel López</cp:lastModifiedBy>
  <cp:revision>5</cp:revision>
  <dcterms:created xsi:type="dcterms:W3CDTF">2022-08-31T01:51:00Z</dcterms:created>
  <dcterms:modified xsi:type="dcterms:W3CDTF">2022-08-31T01:54:00Z</dcterms:modified>
</cp:coreProperties>
</file>