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C376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Influence of Celta pig diet on cholesterol and fatty acid profile of two traditional products</w:t>
      </w:r>
    </w:p>
    <w:p w14:paraId="00000002" w14:textId="77777777" w:rsidR="009C3761" w:rsidRDefault="009C3761">
      <w:pPr>
        <w:spacing w:after="0" w:line="240" w:lineRule="auto"/>
        <w:ind w:left="0" w:hanging="2"/>
        <w:jc w:val="center"/>
      </w:pPr>
    </w:p>
    <w:p w14:paraId="00000003" w14:textId="77777777" w:rsidR="009C3761" w:rsidRDefault="00000000">
      <w:pPr>
        <w:spacing w:after="0" w:line="240" w:lineRule="auto"/>
        <w:ind w:left="0" w:hanging="2"/>
        <w:jc w:val="center"/>
      </w:pPr>
      <w:sdt>
        <w:sdtPr>
          <w:tag w:val="goog_rdk_0"/>
          <w:id w:val="311065664"/>
        </w:sdtPr>
        <w:sdtContent>
          <w:commentRangeStart w:id="0"/>
        </w:sdtContent>
      </w:sdt>
      <w:r>
        <w:rPr>
          <w:vertAlign w:val="superscript"/>
        </w:rPr>
        <w:t>1</w:t>
      </w:r>
      <w:r>
        <w:t xml:space="preserve">Curros, B., </w:t>
      </w:r>
      <w:r>
        <w:rPr>
          <w:vertAlign w:val="superscript"/>
        </w:rPr>
        <w:t>1</w:t>
      </w:r>
      <w:r>
        <w:t xml:space="preserve">Echegaray, N., </w:t>
      </w:r>
      <w:r>
        <w:rPr>
          <w:vertAlign w:val="superscript"/>
        </w:rPr>
        <w:t>2</w:t>
      </w:r>
      <w:r>
        <w:t xml:space="preserve">Teixeira, A., </w:t>
      </w:r>
      <w:r>
        <w:rPr>
          <w:vertAlign w:val="superscript"/>
        </w:rPr>
        <w:t>1</w:t>
      </w:r>
      <w:r>
        <w:t xml:space="preserve">Bermúdez, R, </w:t>
      </w:r>
      <w:r>
        <w:rPr>
          <w:vertAlign w:val="superscript"/>
        </w:rPr>
        <w:t>1</w:t>
      </w:r>
      <w:r>
        <w:t xml:space="preserve">Agregán, R., </w:t>
      </w:r>
      <w:r>
        <w:rPr>
          <w:vertAlign w:val="superscript"/>
        </w:rPr>
        <w:t>3</w:t>
      </w:r>
      <w:r>
        <w:t xml:space="preserve">Rey, J.F., </w:t>
      </w:r>
      <w:r>
        <w:rPr>
          <w:vertAlign w:val="superscript"/>
        </w:rPr>
        <w:t>1</w:t>
      </w:r>
      <w:r>
        <w:t xml:space="preserve">Lorenzo, J.M., </w:t>
      </w:r>
      <w:r>
        <w:rPr>
          <w:vertAlign w:val="superscript"/>
        </w:rPr>
        <w:t>1</w:t>
      </w:r>
      <w:r>
        <w:t>Franco, D.</w:t>
      </w:r>
      <w:commentRangeEnd w:id="0"/>
      <w:r>
        <w:commentReference w:id="0"/>
      </w:r>
    </w:p>
    <w:p w14:paraId="00000004" w14:textId="77777777" w:rsidR="009C3761" w:rsidRDefault="009C3761">
      <w:pPr>
        <w:spacing w:after="0" w:line="240" w:lineRule="auto"/>
        <w:ind w:left="0" w:hanging="2"/>
        <w:jc w:val="center"/>
      </w:pPr>
    </w:p>
    <w:p w14:paraId="00000005" w14:textId="77777777" w:rsidR="009C3761" w:rsidRDefault="00000000">
      <w:pPr>
        <w:spacing w:after="120" w:line="240" w:lineRule="auto"/>
        <w:ind w:left="0" w:hanging="2"/>
        <w:jc w:val="left"/>
      </w:pPr>
      <w:r>
        <w:t xml:space="preserve">(1) Centro </w:t>
      </w:r>
      <w:proofErr w:type="spellStart"/>
      <w:r>
        <w:t>Tecnoloxico</w:t>
      </w:r>
      <w:proofErr w:type="spellEnd"/>
      <w:r>
        <w:t xml:space="preserve"> da Carne de Galicia, Parque </w:t>
      </w:r>
      <w:proofErr w:type="spellStart"/>
      <w:r>
        <w:t>Tecnologico</w:t>
      </w:r>
      <w:proofErr w:type="spellEnd"/>
      <w:r>
        <w:t xml:space="preserve"> de Galicia, 4, San </w:t>
      </w:r>
      <w:proofErr w:type="spellStart"/>
      <w:r>
        <w:t>cibrao</w:t>
      </w:r>
      <w:proofErr w:type="spellEnd"/>
      <w:r>
        <w:t xml:space="preserve"> das </w:t>
      </w:r>
      <w:proofErr w:type="spellStart"/>
      <w:r>
        <w:t>Viñas</w:t>
      </w:r>
      <w:proofErr w:type="spellEnd"/>
      <w:r>
        <w:t>, Ourense, (Spain)</w:t>
      </w:r>
    </w:p>
    <w:p w14:paraId="00000006" w14:textId="77777777" w:rsidR="009C3761" w:rsidRDefault="00000000">
      <w:pPr>
        <w:spacing w:line="240" w:lineRule="auto"/>
        <w:ind w:left="0" w:hanging="2"/>
        <w:jc w:val="left"/>
      </w:pPr>
      <w:r>
        <w:t xml:space="preserve">(2) Escola Superior </w:t>
      </w:r>
      <w:proofErr w:type="spellStart"/>
      <w:r>
        <w:t>Agrária</w:t>
      </w:r>
      <w:proofErr w:type="spellEnd"/>
      <w:r>
        <w:t xml:space="preserve">, Instituto </w:t>
      </w:r>
      <w:proofErr w:type="spellStart"/>
      <w:r>
        <w:t>Politécnico</w:t>
      </w:r>
      <w:proofErr w:type="spellEnd"/>
      <w:r>
        <w:t xml:space="preserve"> de </w:t>
      </w:r>
      <w:proofErr w:type="spellStart"/>
      <w:r>
        <w:t>Bragança</w:t>
      </w:r>
      <w:proofErr w:type="spellEnd"/>
      <w:r>
        <w:t xml:space="preserve"> - Centro de </w:t>
      </w:r>
      <w:proofErr w:type="spellStart"/>
      <w:r>
        <w:t>Investigação</w:t>
      </w:r>
      <w:proofErr w:type="spellEnd"/>
      <w:r>
        <w:t xml:space="preserve"> de </w:t>
      </w:r>
      <w:proofErr w:type="spellStart"/>
      <w:r>
        <w:t>Montanha</w:t>
      </w:r>
      <w:proofErr w:type="spellEnd"/>
      <w:r>
        <w:t xml:space="preserve"> (CIMO), Campus de Santa </w:t>
      </w:r>
      <w:proofErr w:type="spellStart"/>
      <w:r>
        <w:t>Apolónia</w:t>
      </w:r>
      <w:proofErr w:type="spellEnd"/>
      <w:r>
        <w:t xml:space="preserve">, </w:t>
      </w:r>
      <w:proofErr w:type="spellStart"/>
      <w:r>
        <w:t>Bragança</w:t>
      </w:r>
      <w:proofErr w:type="spellEnd"/>
      <w:r>
        <w:t>, Portugal.</w:t>
      </w:r>
    </w:p>
    <w:p w14:paraId="00000007" w14:textId="77777777" w:rsidR="009C3761" w:rsidRDefault="00000000">
      <w:pPr>
        <w:spacing w:line="240" w:lineRule="auto"/>
        <w:ind w:left="0" w:hanging="2"/>
        <w:jc w:val="left"/>
      </w:pPr>
      <w:r>
        <w:t xml:space="preserve">(3) Universidad de La Salle, </w:t>
      </w:r>
      <w:proofErr w:type="spellStart"/>
      <w:r>
        <w:t>Facultad</w:t>
      </w:r>
      <w:proofErr w:type="spellEnd"/>
      <w:r>
        <w:t xml:space="preserve"> de </w:t>
      </w:r>
      <w:proofErr w:type="spellStart"/>
      <w:r>
        <w:t>Ingeniería</w:t>
      </w:r>
      <w:proofErr w:type="spellEnd"/>
      <w:r>
        <w:t xml:space="preserve">,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Ingeniería</w:t>
      </w:r>
      <w:proofErr w:type="spellEnd"/>
      <w:r>
        <w:t xml:space="preserve"> de Alimentos, Bogotá D.C., Colombia.</w:t>
      </w:r>
    </w:p>
    <w:p w14:paraId="00000008" w14:textId="3F22E125" w:rsidR="009C3761" w:rsidRDefault="00000000" w:rsidP="00F163A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  <w:r>
        <w:rPr>
          <w:color w:val="000000"/>
        </w:rPr>
        <w:t>teixeira@ipb.pt</w:t>
      </w:r>
      <w:r>
        <w:rPr>
          <w:color w:val="000000"/>
        </w:rPr>
        <w:tab/>
      </w:r>
    </w:p>
    <w:p w14:paraId="00000009" w14:textId="77777777" w:rsidR="009C3761" w:rsidRDefault="009C3761">
      <w:pPr>
        <w:spacing w:after="0" w:line="240" w:lineRule="auto"/>
        <w:ind w:left="0" w:hanging="2"/>
      </w:pPr>
    </w:p>
    <w:p w14:paraId="0000000A" w14:textId="77777777" w:rsidR="009C3761" w:rsidRDefault="00000000">
      <w:pPr>
        <w:spacing w:after="0" w:line="240" w:lineRule="auto"/>
        <w:ind w:left="0" w:hanging="2"/>
      </w:pPr>
      <w:r>
        <w:t xml:space="preserve">The autochthonous Celta pig breed, (Galicia, NW Spain), has an </w:t>
      </w:r>
      <w:proofErr w:type="spellStart"/>
      <w:r>
        <w:t>adipogenic</w:t>
      </w:r>
      <w:proofErr w:type="spellEnd"/>
      <w:r>
        <w:t xml:space="preserve"> metabolism that leads to the deposition of a large amount of fat in its body tissues.</w:t>
      </w:r>
    </w:p>
    <w:p w14:paraId="0000000B" w14:textId="7CE6FDB0" w:rsidR="009C3761" w:rsidRDefault="00000000">
      <w:pPr>
        <w:spacing w:after="0" w:line="240" w:lineRule="auto"/>
        <w:ind w:left="0" w:hanging="2"/>
      </w:pPr>
      <w:r>
        <w:t>The aim of this research was the valorization of subcutaneous fat from the Celta pig, obtained as a by-product, to elaborated foodstuffs, apart from dry-cured and fermented meat products, evaluating the influence of the pig diet on the fatty acid profile and cholesterol content on two traditional products. For this purpose, 4 pigs were fed with natural resources harvested from the farm (traditional) meanwhile 6 pigs were fed with commercial feeding based on concentrates (conventional). After pigs were slaughtered, the subcutaneous fat was removed to elaborate the traditional products: cake (“</w:t>
      </w:r>
      <w:proofErr w:type="spellStart"/>
      <w:r>
        <w:t>bica</w:t>
      </w:r>
      <w:proofErr w:type="spellEnd"/>
      <w:r>
        <w:t>”) and cracklings (“</w:t>
      </w:r>
      <w:proofErr w:type="spellStart"/>
      <w:r>
        <w:t>chicharróns</w:t>
      </w:r>
      <w:proofErr w:type="spellEnd"/>
      <w:r>
        <w:t xml:space="preserve">”) following homemade recipes. After elaboration, the fatty acid profile was analyzed using a gas chromatograph (GC) with a flame ionization detector (FID), meanwhile, total cholesterol was separated and identified using high-performance liquid chromatography (HPLC). One-way ANOVA was employed for statistical analysis and differences were considered significant if </w:t>
      </w:r>
      <w:r>
        <w:rPr>
          <w:i/>
        </w:rPr>
        <w:t>P &lt; 0.05</w:t>
      </w:r>
      <w:r>
        <w:t>. The results obtained in this work showed that the pig diet significantly affected the fatty acid profile for the “</w:t>
      </w:r>
      <w:proofErr w:type="spellStart"/>
      <w:r>
        <w:t>chicharróns</w:t>
      </w:r>
      <w:proofErr w:type="spellEnd"/>
      <w:r>
        <w:t>” but not for “</w:t>
      </w:r>
      <w:proofErr w:type="spellStart"/>
      <w:r>
        <w:t>bica</w:t>
      </w:r>
      <w:proofErr w:type="spellEnd"/>
      <w:r>
        <w:t>”. Thus, conventional feeding produced a significant (</w:t>
      </w:r>
      <w:r>
        <w:rPr>
          <w:i/>
        </w:rPr>
        <w:t>P &lt; 0.05</w:t>
      </w:r>
      <w:r>
        <w:t>)</w:t>
      </w:r>
      <w:r>
        <w:rPr>
          <w:i/>
        </w:rPr>
        <w:t xml:space="preserve"> </w:t>
      </w:r>
      <w:r>
        <w:t>decrease in saturated fatty acids (SFA) and a significantly (</w:t>
      </w:r>
      <w:r>
        <w:rPr>
          <w:i/>
        </w:rPr>
        <w:t>P &lt; 0.01</w:t>
      </w:r>
      <w:r>
        <w:t>) increase in polyunsaturated fatty acids (PUFA), as well as omega-3 (n-3) and omega-6 (n-6) for the “</w:t>
      </w:r>
      <w:proofErr w:type="spellStart"/>
      <w:r>
        <w:t>chicharróns</w:t>
      </w:r>
      <w:proofErr w:type="spellEnd"/>
      <w:r>
        <w:t>”. The prevalence of monounsaturated fatty acids (MUFA; 31.12-41.23 g/ 100 g of fat), followed by saturated fatty acids (21.25-32.92 g/ 100 g of fat) and polyunsaturated fatty acids (7.38-21.19 g/ 100 g of fat) was the same on the two products for both pig diets. Moreover, the predominant fatty acid for each group was the same. Specifically, oleic acid (C18:1n-9), palmitic acid (C16:0) and linoleic acid (C18:2n-6) were the majority fatty acids for MUFA, SFA and PUFA, respectively. Regarding cholesterol content, values obtained ranged between 53.19 to 80.80 mg/ 100 g. Our results indicated that cholesterol content was not significantly (</w:t>
      </w:r>
      <w:r>
        <w:rPr>
          <w:i/>
        </w:rPr>
        <w:t>P</w:t>
      </w:r>
      <w:r>
        <w:t xml:space="preserve"> &gt; 0.05) influenced by the pig diet. On the other hand, not only does the diet provided to Celta pigs modified the fatty acid profile and cholesterol content, at least in “</w:t>
      </w:r>
      <w:proofErr w:type="spellStart"/>
      <w:r>
        <w:t>chicharróns</w:t>
      </w:r>
      <w:proofErr w:type="spellEnd"/>
      <w:r>
        <w:t xml:space="preserve">”, but our findings demonstrated that the type of product had a significant influence on the total amounts of SFA, MUFA and PUFA and cholesterol. As </w:t>
      </w:r>
      <w:proofErr w:type="gramStart"/>
      <w:r>
        <w:t>expected</w:t>
      </w:r>
      <w:proofErr w:type="gramEnd"/>
      <w:r>
        <w:t xml:space="preserve"> variations in the recipes in terms of ingredients and </w:t>
      </w:r>
      <w:r>
        <w:lastRenderedPageBreak/>
        <w:t>amounts explain these differences, especially because “</w:t>
      </w:r>
      <w:proofErr w:type="spellStart"/>
      <w:r>
        <w:t>chicharróns</w:t>
      </w:r>
      <w:proofErr w:type="spellEnd"/>
      <w:r>
        <w:t>”, is composed of one main raw ingredient, meanwhile, “</w:t>
      </w:r>
      <w:proofErr w:type="spellStart"/>
      <w:r>
        <w:t>bica</w:t>
      </w:r>
      <w:proofErr w:type="spellEnd"/>
      <w:r>
        <w:t>” is elaborated with different ingredients, diluting the effect of the pig diet in the final product. The MUFA and PUFA contents were significantly (</w:t>
      </w:r>
      <w:r>
        <w:rPr>
          <w:i/>
        </w:rPr>
        <w:t xml:space="preserve">P </w:t>
      </w:r>
      <w:r>
        <w:t>&lt; 0.01) higher in “</w:t>
      </w:r>
      <w:proofErr w:type="spellStart"/>
      <w:r>
        <w:t>chicharróns</w:t>
      </w:r>
      <w:proofErr w:type="spellEnd"/>
      <w:r>
        <w:t>” than in “</w:t>
      </w:r>
      <w:proofErr w:type="spellStart"/>
      <w:r>
        <w:t>bica</w:t>
      </w:r>
      <w:proofErr w:type="spellEnd"/>
      <w:r>
        <w:t>”, meanwhile SFA and cholesterol were significantly (</w:t>
      </w:r>
      <w:r>
        <w:rPr>
          <w:i/>
        </w:rPr>
        <w:t xml:space="preserve">P </w:t>
      </w:r>
      <w:r>
        <w:t xml:space="preserve">&lt; 0.01) lower. In conclusion, the subcutaneous fat from Celta pig could be used for the recovery of traditional products in contrast to industrialized ones, but given the findings, more effort </w:t>
      </w:r>
      <w:proofErr w:type="gramStart"/>
      <w:r>
        <w:t>has to</w:t>
      </w:r>
      <w:proofErr w:type="gramEnd"/>
      <w:r>
        <w:t xml:space="preserve"> be done to improve the finishing diet, to enhance the nutritional profile.</w:t>
      </w:r>
    </w:p>
    <w:p w14:paraId="0000000C" w14:textId="77777777" w:rsidR="009C3761" w:rsidRDefault="00000000">
      <w:pPr>
        <w:spacing w:after="0" w:line="240" w:lineRule="auto"/>
        <w:ind w:left="0" w:hanging="2"/>
      </w:pPr>
      <w:r>
        <w:t>The authors are grateful to FEADER (Project 2020/004A) for financial support.</w:t>
      </w:r>
    </w:p>
    <w:p w14:paraId="0000000D" w14:textId="77777777" w:rsidR="009C3761" w:rsidRDefault="009C3761">
      <w:pPr>
        <w:spacing w:after="0" w:line="240" w:lineRule="auto"/>
        <w:ind w:left="0" w:hanging="2"/>
      </w:pPr>
    </w:p>
    <w:p w14:paraId="0000000E" w14:textId="77777777" w:rsidR="009C3761" w:rsidRDefault="00000000">
      <w:pPr>
        <w:spacing w:after="0" w:line="240" w:lineRule="auto"/>
        <w:ind w:left="0" w:hanging="2"/>
      </w:pPr>
      <w:r>
        <w:t>Keywords: animal feed, foodstuff, lipid profile, cracklings, cake.</w:t>
      </w:r>
    </w:p>
    <w:p w14:paraId="0000000F" w14:textId="77777777" w:rsidR="009C3761" w:rsidRDefault="009C3761">
      <w:pPr>
        <w:spacing w:after="0" w:line="240" w:lineRule="auto"/>
        <w:ind w:left="0" w:hanging="2"/>
      </w:pPr>
      <w:commentRangeStart w:id="1"/>
    </w:p>
    <w:tbl>
      <w:tblPr>
        <w:tblStyle w:val="a"/>
        <w:tblW w:w="10225" w:type="dxa"/>
        <w:tblInd w:w="-726" w:type="dxa"/>
        <w:tblLayout w:type="fixed"/>
        <w:tblLook w:val="0400" w:firstRow="0" w:lastRow="0" w:firstColumn="0" w:lastColumn="0" w:noHBand="0" w:noVBand="1"/>
      </w:tblPr>
      <w:tblGrid>
        <w:gridCol w:w="1157"/>
        <w:gridCol w:w="1580"/>
        <w:gridCol w:w="1481"/>
        <w:gridCol w:w="746"/>
        <w:gridCol w:w="506"/>
        <w:gridCol w:w="1580"/>
        <w:gridCol w:w="1360"/>
        <w:gridCol w:w="747"/>
        <w:gridCol w:w="497"/>
        <w:gridCol w:w="160"/>
        <w:gridCol w:w="411"/>
      </w:tblGrid>
      <w:tr w:rsidR="009C3761" w14:paraId="7932D0F8" w14:textId="77777777">
        <w:trPr>
          <w:trHeight w:val="315"/>
        </w:trPr>
        <w:tc>
          <w:tcPr>
            <w:tcW w:w="115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010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FATTY ACID</w:t>
            </w:r>
          </w:p>
        </w:tc>
        <w:tc>
          <w:tcPr>
            <w:tcW w:w="431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center"/>
          </w:tcPr>
          <w:p w14:paraId="00000011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CRACKLINGS “CHICHARRÓNS”</w:t>
            </w:r>
          </w:p>
        </w:tc>
        <w:tc>
          <w:tcPr>
            <w:tcW w:w="41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E2EFDA"/>
            <w:vAlign w:val="center"/>
          </w:tcPr>
          <w:p w14:paraId="00000015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CAKE “BICA”</w:t>
            </w:r>
          </w:p>
        </w:tc>
        <w:tc>
          <w:tcPr>
            <w:tcW w:w="160" w:type="dxa"/>
            <w:shd w:val="clear" w:color="auto" w:fill="auto"/>
          </w:tcPr>
          <w:p w14:paraId="00000019" w14:textId="77777777" w:rsidR="009C3761" w:rsidRDefault="009C3761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0000001A" w14:textId="77777777" w:rsidR="009C3761" w:rsidRDefault="009C3761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9C3761" w14:paraId="2D87C4B6" w14:textId="77777777">
        <w:trPr>
          <w:trHeight w:val="315"/>
        </w:trPr>
        <w:tc>
          <w:tcPr>
            <w:tcW w:w="115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01B" w14:textId="77777777" w:rsidR="009C3761" w:rsidRDefault="009C3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5DFEC"/>
            <w:vAlign w:val="center"/>
          </w:tcPr>
          <w:p w14:paraId="0000001C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TYPE OF FEED</w:t>
            </w:r>
          </w:p>
        </w:tc>
        <w:tc>
          <w:tcPr>
            <w:tcW w:w="746" w:type="dxa"/>
            <w:vMerge w:val="restart"/>
            <w:tcBorders>
              <w:top w:val="nil"/>
              <w:left w:val="nil"/>
              <w:right w:val="nil"/>
            </w:tcBorders>
            <w:shd w:val="clear" w:color="auto" w:fill="E5DFEC"/>
            <w:vAlign w:val="center"/>
          </w:tcPr>
          <w:p w14:paraId="0000001E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SEM</w:t>
            </w:r>
          </w:p>
        </w:tc>
        <w:tc>
          <w:tcPr>
            <w:tcW w:w="50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E5DFEC"/>
            <w:vAlign w:val="center"/>
          </w:tcPr>
          <w:p w14:paraId="0000001F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2EFDA"/>
            <w:vAlign w:val="center"/>
          </w:tcPr>
          <w:p w14:paraId="00000020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TYPE OF FEED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right w:val="nil"/>
            </w:tcBorders>
            <w:shd w:val="clear" w:color="auto" w:fill="E2EFDA"/>
            <w:vAlign w:val="center"/>
          </w:tcPr>
          <w:p w14:paraId="00000022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97" w:type="dxa"/>
            <w:vMerge w:val="restart"/>
            <w:tcBorders>
              <w:top w:val="nil"/>
              <w:left w:val="nil"/>
            </w:tcBorders>
            <w:shd w:val="clear" w:color="auto" w:fill="E2EFDA"/>
            <w:vAlign w:val="center"/>
          </w:tcPr>
          <w:p w14:paraId="00000023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</w:tcPr>
          <w:p w14:paraId="00000024" w14:textId="77777777" w:rsidR="009C3761" w:rsidRDefault="009C3761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00000025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</w:t>
            </w:r>
          </w:p>
        </w:tc>
      </w:tr>
      <w:tr w:rsidR="009C3761" w14:paraId="4C925574" w14:textId="77777777">
        <w:trPr>
          <w:trHeight w:val="315"/>
        </w:trPr>
        <w:tc>
          <w:tcPr>
            <w:tcW w:w="115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026" w14:textId="77777777" w:rsidR="009C3761" w:rsidRDefault="009C3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5DFEC"/>
            <w:vAlign w:val="center"/>
          </w:tcPr>
          <w:p w14:paraId="00000027" w14:textId="77777777" w:rsidR="009C3761" w:rsidRDefault="00000000">
            <w:pPr>
              <w:spacing w:after="0" w:line="240" w:lineRule="auto"/>
              <w:ind w:left="0" w:hanging="2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CONVENTIONAL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5DFEC"/>
            <w:vAlign w:val="center"/>
          </w:tcPr>
          <w:p w14:paraId="00000028" w14:textId="77777777" w:rsidR="009C3761" w:rsidRDefault="00000000">
            <w:pPr>
              <w:spacing w:after="0" w:line="240" w:lineRule="auto"/>
              <w:ind w:left="0" w:hanging="2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TRADITIONAL</w:t>
            </w:r>
          </w:p>
        </w:tc>
        <w:tc>
          <w:tcPr>
            <w:tcW w:w="746" w:type="dxa"/>
            <w:vMerge/>
            <w:tcBorders>
              <w:top w:val="nil"/>
              <w:left w:val="nil"/>
              <w:right w:val="nil"/>
            </w:tcBorders>
            <w:shd w:val="clear" w:color="auto" w:fill="E5DFEC"/>
            <w:vAlign w:val="center"/>
          </w:tcPr>
          <w:p w14:paraId="00000029" w14:textId="77777777" w:rsidR="009C3761" w:rsidRDefault="009C3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E5DFEC"/>
            <w:vAlign w:val="center"/>
          </w:tcPr>
          <w:p w14:paraId="0000002A" w14:textId="77777777" w:rsidR="009C3761" w:rsidRDefault="009C3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2EFDA"/>
            <w:vAlign w:val="center"/>
          </w:tcPr>
          <w:p w14:paraId="0000002B" w14:textId="77777777" w:rsidR="009C3761" w:rsidRDefault="00000000">
            <w:pPr>
              <w:spacing w:after="0" w:line="240" w:lineRule="auto"/>
              <w:ind w:left="0" w:hanging="2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CONVENTIONAL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2EFDA"/>
            <w:vAlign w:val="center"/>
          </w:tcPr>
          <w:p w14:paraId="0000002C" w14:textId="77777777" w:rsidR="009C3761" w:rsidRDefault="00000000">
            <w:pPr>
              <w:spacing w:after="0" w:line="240" w:lineRule="auto"/>
              <w:ind w:left="0" w:hanging="2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TRADITIONAL</w:t>
            </w:r>
          </w:p>
        </w:tc>
        <w:tc>
          <w:tcPr>
            <w:tcW w:w="747" w:type="dxa"/>
            <w:vMerge/>
            <w:tcBorders>
              <w:top w:val="nil"/>
              <w:left w:val="nil"/>
              <w:right w:val="nil"/>
            </w:tcBorders>
            <w:shd w:val="clear" w:color="auto" w:fill="E2EFDA"/>
            <w:vAlign w:val="center"/>
          </w:tcPr>
          <w:p w14:paraId="0000002D" w14:textId="77777777" w:rsidR="009C3761" w:rsidRDefault="009C3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vMerge/>
            <w:tcBorders>
              <w:top w:val="nil"/>
              <w:left w:val="nil"/>
            </w:tcBorders>
            <w:shd w:val="clear" w:color="auto" w:fill="E2EFDA"/>
            <w:vAlign w:val="center"/>
          </w:tcPr>
          <w:p w14:paraId="0000002E" w14:textId="77777777" w:rsidR="009C3761" w:rsidRDefault="009C3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</w:tcPr>
          <w:p w14:paraId="0000002F" w14:textId="77777777" w:rsidR="009C3761" w:rsidRDefault="009C3761">
            <w:pPr>
              <w:spacing w:after="0" w:line="240" w:lineRule="auto"/>
              <w:ind w:left="0" w:hanging="2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00000030" w14:textId="77777777" w:rsidR="009C3761" w:rsidRDefault="009C3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</w:tr>
      <w:tr w:rsidR="009C3761" w14:paraId="24E52D17" w14:textId="77777777">
        <w:trPr>
          <w:trHeight w:val="300"/>
        </w:trPr>
        <w:tc>
          <w:tcPr>
            <w:tcW w:w="96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31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Cholesterol (mg/ 100 g)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00003A" w14:textId="77777777" w:rsidR="009C3761" w:rsidRDefault="009C3761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00003B" w14:textId="77777777" w:rsidR="009C3761" w:rsidRDefault="009C3761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9C3761" w14:paraId="06FF9F0E" w14:textId="77777777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3C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Cholesterol 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3D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65.74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3E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53.19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3F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3.95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40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ns.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41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78.56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42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80.8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43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1.634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44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ns.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000045" w14:textId="77777777" w:rsidR="009C3761" w:rsidRDefault="009C3761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0000046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**</w:t>
            </w:r>
          </w:p>
        </w:tc>
      </w:tr>
      <w:tr w:rsidR="009C3761" w14:paraId="17858B72" w14:textId="77777777">
        <w:trPr>
          <w:trHeight w:val="300"/>
        </w:trPr>
        <w:tc>
          <w:tcPr>
            <w:tcW w:w="965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47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Fatty acid profile (g/ 100 g of fat)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000050" w14:textId="77777777" w:rsidR="009C3761" w:rsidRDefault="009C3761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0000051" w14:textId="77777777" w:rsidR="009C3761" w:rsidRDefault="009C3761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9C3761" w14:paraId="79434018" w14:textId="77777777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52" w14:textId="77777777" w:rsidR="009C3761" w:rsidRDefault="00000000">
            <w:pPr>
              <w:spacing w:after="0" w:line="240" w:lineRule="auto"/>
              <w:ind w:left="0" w:hanging="2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C14:0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0000053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54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55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0000056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57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58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59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0.078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5A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5B" w14:textId="77777777" w:rsidR="009C3761" w:rsidRDefault="009C3761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5C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***</w:t>
            </w:r>
          </w:p>
        </w:tc>
      </w:tr>
      <w:tr w:rsidR="009C3761" w14:paraId="23FED4F4" w14:textId="77777777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5D" w14:textId="77777777" w:rsidR="009C3761" w:rsidRDefault="00000000">
            <w:pPr>
              <w:spacing w:after="0" w:line="240" w:lineRule="auto"/>
              <w:ind w:left="0" w:hanging="2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C16:0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000005E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14.33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5F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14.12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60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0000061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62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63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64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0.729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65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66" w14:textId="77777777" w:rsidR="009C3761" w:rsidRDefault="009C3761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67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***</w:t>
            </w:r>
          </w:p>
        </w:tc>
      </w:tr>
      <w:tr w:rsidR="009C3761" w14:paraId="023C4E6A" w14:textId="77777777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68" w14:textId="77777777" w:rsidR="009C3761" w:rsidRDefault="00000000">
            <w:pPr>
              <w:spacing w:after="0" w:line="240" w:lineRule="auto"/>
              <w:ind w:left="0" w:hanging="2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C16:1n-7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0000069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6A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6B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0.497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000006C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6D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6E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6F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0.141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70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71" w14:textId="77777777" w:rsidR="009C3761" w:rsidRDefault="009C3761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72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ns.</w:t>
            </w:r>
          </w:p>
        </w:tc>
      </w:tr>
      <w:tr w:rsidR="009C3761" w14:paraId="5E98EDB5" w14:textId="77777777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73" w14:textId="77777777" w:rsidR="009C3761" w:rsidRDefault="00000000">
            <w:pPr>
              <w:spacing w:after="0" w:line="240" w:lineRule="auto"/>
              <w:ind w:left="0" w:hanging="2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C18:0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0000074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5.54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75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7.26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76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0.497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0000077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78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79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8.92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7A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0.432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7B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7C" w14:textId="77777777" w:rsidR="009C3761" w:rsidRDefault="009C3761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7D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</w:t>
            </w:r>
          </w:p>
        </w:tc>
      </w:tr>
      <w:tr w:rsidR="009C3761" w14:paraId="2BE41140" w14:textId="77777777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7E" w14:textId="77777777" w:rsidR="009C3761" w:rsidRDefault="00000000">
            <w:pPr>
              <w:spacing w:after="0" w:line="240" w:lineRule="auto"/>
              <w:ind w:left="0" w:hanging="2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C18:1n-9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000007F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35.89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80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34.72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81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0.384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0000082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83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84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26.69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85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1.318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86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87" w14:textId="77777777" w:rsidR="009C3761" w:rsidRDefault="009C3761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88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**</w:t>
            </w:r>
          </w:p>
        </w:tc>
      </w:tr>
      <w:tr w:rsidR="009C3761" w14:paraId="67767C38" w14:textId="77777777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89" w14:textId="77777777" w:rsidR="009C3761" w:rsidRDefault="00000000">
            <w:pPr>
              <w:spacing w:after="0" w:line="240" w:lineRule="auto"/>
              <w:ind w:left="0" w:hanging="2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C18:1n-7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000008A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8B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8C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0.221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000008D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8E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8F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90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0.158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91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92" w14:textId="77777777" w:rsidR="009C3761" w:rsidRDefault="009C3761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93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ns.</w:t>
            </w:r>
          </w:p>
        </w:tc>
      </w:tr>
      <w:tr w:rsidR="009C3761" w14:paraId="4788647C" w14:textId="77777777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94" w14:textId="77777777" w:rsidR="009C3761" w:rsidRDefault="00000000">
            <w:pPr>
              <w:spacing w:after="0" w:line="240" w:lineRule="auto"/>
              <w:ind w:left="0" w:hanging="2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C18:2n-6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0000095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19.94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96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15.88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97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1.175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0000098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99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9A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5.95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9B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0.408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9C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9D" w14:textId="77777777" w:rsidR="009C3761" w:rsidRDefault="009C3761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9E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***</w:t>
            </w:r>
          </w:p>
        </w:tc>
      </w:tr>
      <w:tr w:rsidR="009C3761" w14:paraId="5683B15A" w14:textId="77777777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9F" w14:textId="77777777" w:rsidR="009C3761" w:rsidRDefault="00000000">
            <w:pPr>
              <w:spacing w:after="0" w:line="240" w:lineRule="auto"/>
              <w:ind w:left="0" w:hanging="2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C18:3n-3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00000A0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A1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A2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00000A3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A4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A5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A6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0.025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A7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A8" w14:textId="77777777" w:rsidR="009C3761" w:rsidRDefault="009C3761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A9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**</w:t>
            </w:r>
          </w:p>
        </w:tc>
      </w:tr>
      <w:tr w:rsidR="009C3761" w14:paraId="1537AE67" w14:textId="77777777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AA" w14:textId="77777777" w:rsidR="009C3761" w:rsidRDefault="00000000">
            <w:pPr>
              <w:spacing w:after="0" w:line="240" w:lineRule="auto"/>
              <w:ind w:left="0" w:hanging="2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C20:1n-9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AB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AC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AD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0AE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AF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B0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B1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B2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ns.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B3" w14:textId="77777777" w:rsidR="009C3761" w:rsidRDefault="009C3761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B4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ns.</w:t>
            </w:r>
          </w:p>
        </w:tc>
      </w:tr>
      <w:tr w:rsidR="009C3761" w14:paraId="142A5DB1" w14:textId="77777777">
        <w:trPr>
          <w:trHeight w:val="300"/>
        </w:trPr>
        <w:tc>
          <w:tcPr>
            <w:tcW w:w="11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00000B5" w14:textId="77777777" w:rsidR="009C3761" w:rsidRDefault="00000000">
            <w:pPr>
              <w:spacing w:after="0" w:line="240" w:lineRule="auto"/>
              <w:ind w:left="0" w:hanging="2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SFA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000000B6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21.25</w:t>
            </w:r>
          </w:p>
        </w:tc>
        <w:tc>
          <w:tcPr>
            <w:tcW w:w="1481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14:paraId="000000B7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22.75</w:t>
            </w:r>
          </w:p>
        </w:tc>
        <w:tc>
          <w:tcPr>
            <w:tcW w:w="746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14:paraId="000000B8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0.447</w:t>
            </w:r>
          </w:p>
        </w:tc>
        <w:tc>
          <w:tcPr>
            <w:tcW w:w="506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00000B9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000000BA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32.76</w:t>
            </w:r>
          </w:p>
        </w:tc>
        <w:tc>
          <w:tcPr>
            <w:tcW w:w="1360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14:paraId="000000BB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32.92</w:t>
            </w:r>
          </w:p>
        </w:tc>
        <w:tc>
          <w:tcPr>
            <w:tcW w:w="747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14:paraId="000000BC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1.097</w:t>
            </w:r>
          </w:p>
        </w:tc>
        <w:tc>
          <w:tcPr>
            <w:tcW w:w="497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14:paraId="000000BD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ns.</w:t>
            </w:r>
          </w:p>
        </w:tc>
        <w:tc>
          <w:tcPr>
            <w:tcW w:w="160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14:paraId="000000BE" w14:textId="77777777" w:rsidR="009C3761" w:rsidRDefault="009C3761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00000BF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***</w:t>
            </w:r>
          </w:p>
        </w:tc>
      </w:tr>
      <w:tr w:rsidR="009C3761" w14:paraId="38591296" w14:textId="77777777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00000C0" w14:textId="77777777" w:rsidR="009C3761" w:rsidRDefault="00000000">
            <w:pPr>
              <w:spacing w:after="0" w:line="240" w:lineRule="auto"/>
              <w:ind w:left="0" w:hanging="2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MUFA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000000C1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41.23</w:t>
            </w:r>
          </w:p>
        </w:tc>
        <w:tc>
          <w:tcPr>
            <w:tcW w:w="14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000C2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39.28</w:t>
            </w:r>
          </w:p>
        </w:tc>
        <w:tc>
          <w:tcPr>
            <w:tcW w:w="7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000C3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0.650</w:t>
            </w:r>
          </w:p>
        </w:tc>
        <w:tc>
          <w:tcPr>
            <w:tcW w:w="506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00000C4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ns.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000000C5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34.85</w:t>
            </w:r>
          </w:p>
        </w:tc>
        <w:tc>
          <w:tcPr>
            <w:tcW w:w="1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000C6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31.12</w:t>
            </w:r>
          </w:p>
        </w:tc>
        <w:tc>
          <w:tcPr>
            <w:tcW w:w="7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000C7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1.594</w:t>
            </w:r>
          </w:p>
        </w:tc>
        <w:tc>
          <w:tcPr>
            <w:tcW w:w="4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000C8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ns.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vAlign w:val="center"/>
          </w:tcPr>
          <w:p w14:paraId="000000C9" w14:textId="77777777" w:rsidR="009C3761" w:rsidRDefault="009C3761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00000CA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**</w:t>
            </w:r>
          </w:p>
        </w:tc>
      </w:tr>
      <w:tr w:rsidR="009C3761" w14:paraId="4C2AE2AD" w14:textId="77777777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B" w14:textId="77777777" w:rsidR="009C3761" w:rsidRDefault="00000000">
            <w:pPr>
              <w:spacing w:after="0" w:line="240" w:lineRule="auto"/>
              <w:ind w:left="0" w:hanging="2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PUFA 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00000CC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21.19</w:t>
            </w:r>
          </w:p>
        </w:tc>
        <w:tc>
          <w:tcPr>
            <w:tcW w:w="1481" w:type="dxa"/>
            <w:tcBorders>
              <w:top w:val="nil"/>
              <w:bottom w:val="dotted" w:sz="4" w:space="0" w:color="000000"/>
            </w:tcBorders>
            <w:shd w:val="clear" w:color="auto" w:fill="auto"/>
            <w:vAlign w:val="center"/>
          </w:tcPr>
          <w:p w14:paraId="000000CD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17.07</w:t>
            </w:r>
          </w:p>
        </w:tc>
        <w:tc>
          <w:tcPr>
            <w:tcW w:w="746" w:type="dxa"/>
            <w:tcBorders>
              <w:top w:val="nil"/>
              <w:bottom w:val="dotted" w:sz="4" w:space="0" w:color="000000"/>
            </w:tcBorders>
            <w:shd w:val="clear" w:color="auto" w:fill="auto"/>
            <w:vAlign w:val="center"/>
          </w:tcPr>
          <w:p w14:paraId="000000CE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1.193</w:t>
            </w:r>
          </w:p>
        </w:tc>
        <w:tc>
          <w:tcPr>
            <w:tcW w:w="506" w:type="dxa"/>
            <w:tcBorders>
              <w:top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F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00000D0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8.67</w:t>
            </w:r>
          </w:p>
        </w:tc>
        <w:tc>
          <w:tcPr>
            <w:tcW w:w="1360" w:type="dxa"/>
            <w:tcBorders>
              <w:top w:val="nil"/>
              <w:bottom w:val="dotted" w:sz="4" w:space="0" w:color="000000"/>
            </w:tcBorders>
            <w:shd w:val="clear" w:color="auto" w:fill="auto"/>
            <w:vAlign w:val="center"/>
          </w:tcPr>
          <w:p w14:paraId="000000D1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7.38</w:t>
            </w:r>
          </w:p>
        </w:tc>
        <w:tc>
          <w:tcPr>
            <w:tcW w:w="747" w:type="dxa"/>
            <w:tcBorders>
              <w:top w:val="nil"/>
              <w:bottom w:val="dotted" w:sz="4" w:space="0" w:color="000000"/>
            </w:tcBorders>
            <w:shd w:val="clear" w:color="auto" w:fill="auto"/>
            <w:vAlign w:val="center"/>
          </w:tcPr>
          <w:p w14:paraId="000000D2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0.482</w:t>
            </w:r>
          </w:p>
        </w:tc>
        <w:tc>
          <w:tcPr>
            <w:tcW w:w="497" w:type="dxa"/>
            <w:tcBorders>
              <w:top w:val="nil"/>
              <w:bottom w:val="dotted" w:sz="4" w:space="0" w:color="000000"/>
            </w:tcBorders>
            <w:shd w:val="clear" w:color="auto" w:fill="auto"/>
            <w:vAlign w:val="center"/>
          </w:tcPr>
          <w:p w14:paraId="000000D3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ns.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vAlign w:val="center"/>
          </w:tcPr>
          <w:p w14:paraId="000000D4" w14:textId="77777777" w:rsidR="009C3761" w:rsidRDefault="009C3761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14:paraId="000000D5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**</w:t>
            </w:r>
          </w:p>
        </w:tc>
      </w:tr>
      <w:tr w:rsidR="009C3761" w14:paraId="2446ED0D" w14:textId="77777777">
        <w:trPr>
          <w:trHeight w:val="300"/>
        </w:trPr>
        <w:tc>
          <w:tcPr>
            <w:tcW w:w="1157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D6" w14:textId="77777777" w:rsidR="009C3761" w:rsidRDefault="00000000">
            <w:pPr>
              <w:spacing w:after="0" w:line="240" w:lineRule="auto"/>
              <w:ind w:left="0" w:hanging="2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n-3</w:t>
            </w:r>
          </w:p>
        </w:tc>
        <w:tc>
          <w:tcPr>
            <w:tcW w:w="1580" w:type="dxa"/>
            <w:tcBorders>
              <w:top w:val="dotted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00000D7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0.66</w:t>
            </w:r>
          </w:p>
        </w:tc>
        <w:tc>
          <w:tcPr>
            <w:tcW w:w="1481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D8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0.58</w:t>
            </w:r>
          </w:p>
        </w:tc>
        <w:tc>
          <w:tcPr>
            <w:tcW w:w="74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D9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0.023</w:t>
            </w:r>
          </w:p>
        </w:tc>
        <w:tc>
          <w:tcPr>
            <w:tcW w:w="506" w:type="dxa"/>
            <w:tcBorders>
              <w:top w:val="dotted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00000DA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80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DB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0.71</w:t>
            </w:r>
          </w:p>
        </w:tc>
        <w:tc>
          <w:tcPr>
            <w:tcW w:w="1360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DC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0.60</w:t>
            </w:r>
          </w:p>
        </w:tc>
        <w:tc>
          <w:tcPr>
            <w:tcW w:w="747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DD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0.040</w:t>
            </w:r>
          </w:p>
        </w:tc>
        <w:tc>
          <w:tcPr>
            <w:tcW w:w="497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DE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ns.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DF" w14:textId="77777777" w:rsidR="009C3761" w:rsidRDefault="009C3761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E0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ns.</w:t>
            </w:r>
          </w:p>
        </w:tc>
      </w:tr>
      <w:tr w:rsidR="009C3761" w14:paraId="5000DC45" w14:textId="77777777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E1" w14:textId="77777777" w:rsidR="009C3761" w:rsidRDefault="00000000">
            <w:pPr>
              <w:spacing w:after="0" w:line="240" w:lineRule="auto"/>
              <w:ind w:left="0" w:hanging="2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n-6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E2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20.41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E3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16.39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E4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0E5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E6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E7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6.59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E8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0.437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E9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ns.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0000EA" w14:textId="77777777" w:rsidR="009C3761" w:rsidRDefault="009C3761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EB" w14:textId="77777777" w:rsidR="009C3761" w:rsidRDefault="0000000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***</w:t>
            </w:r>
          </w:p>
        </w:tc>
      </w:tr>
      <w:tr w:rsidR="009C3761" w14:paraId="4C0F2705" w14:textId="77777777">
        <w:trPr>
          <w:trHeight w:val="31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EC" w14:textId="77777777" w:rsidR="009C3761" w:rsidRDefault="009C3761">
            <w:pPr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ED" w14:textId="77777777" w:rsidR="009C3761" w:rsidRDefault="009C3761">
            <w:pPr>
              <w:spacing w:after="0" w:line="240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EE" w14:textId="77777777" w:rsidR="009C3761" w:rsidRDefault="009C3761">
            <w:pPr>
              <w:spacing w:after="0" w:line="240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EF" w14:textId="77777777" w:rsidR="009C3761" w:rsidRDefault="009C3761">
            <w:pPr>
              <w:spacing w:after="0" w:line="240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F0" w14:textId="77777777" w:rsidR="009C3761" w:rsidRDefault="009C3761">
            <w:pPr>
              <w:spacing w:after="0" w:line="240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F1" w14:textId="77777777" w:rsidR="009C3761" w:rsidRDefault="009C3761">
            <w:pPr>
              <w:spacing w:after="0" w:line="240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F2" w14:textId="77777777" w:rsidR="009C3761" w:rsidRDefault="009C3761">
            <w:pPr>
              <w:spacing w:after="0" w:line="240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F3" w14:textId="77777777" w:rsidR="009C3761" w:rsidRDefault="009C3761">
            <w:pPr>
              <w:spacing w:after="0" w:line="240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F4" w14:textId="77777777" w:rsidR="009C3761" w:rsidRDefault="009C3761">
            <w:pPr>
              <w:spacing w:after="0" w:line="240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14:paraId="000000F5" w14:textId="77777777" w:rsidR="009C3761" w:rsidRDefault="009C3761">
            <w:pPr>
              <w:spacing w:after="0" w:line="240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000000F6" w14:textId="77777777" w:rsidR="009C3761" w:rsidRDefault="009C3761">
            <w:pPr>
              <w:spacing w:after="0" w:line="240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</w:tr>
      <w:tr w:rsidR="009C3761" w14:paraId="7C58D07E" w14:textId="77777777">
        <w:trPr>
          <w:trHeight w:val="450"/>
        </w:trPr>
        <w:tc>
          <w:tcPr>
            <w:tcW w:w="102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F7" w14:textId="77777777" w:rsidR="009C3761" w:rsidRDefault="00000000">
            <w:pPr>
              <w:spacing w:after="0"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SEM: </w:t>
            </w:r>
            <w:r>
              <w:rPr>
                <w:color w:val="000000"/>
                <w:sz w:val="18"/>
                <w:szCs w:val="18"/>
              </w:rPr>
              <w:t>Standard error of mean.</w:t>
            </w:r>
            <w:r>
              <w:rPr>
                <w:b/>
                <w:color w:val="000000"/>
                <w:sz w:val="18"/>
                <w:szCs w:val="18"/>
              </w:rPr>
              <w:t xml:space="preserve"> F</w:t>
            </w:r>
            <w:r>
              <w:rPr>
                <w:color w:val="000000"/>
                <w:sz w:val="18"/>
                <w:szCs w:val="18"/>
              </w:rPr>
              <w:t xml:space="preserve">: Significantly different values as influenced by feeding (ns: no significant difference; * P&lt;0.05; ** P&lt;0.01; *** P&lt;0.001). </w:t>
            </w:r>
            <w:r>
              <w:rPr>
                <w:b/>
                <w:color w:val="000000"/>
                <w:sz w:val="18"/>
                <w:szCs w:val="18"/>
              </w:rPr>
              <w:t>P:</w:t>
            </w:r>
            <w:r>
              <w:rPr>
                <w:color w:val="000000"/>
                <w:sz w:val="18"/>
                <w:szCs w:val="18"/>
              </w:rPr>
              <w:t xml:space="preserve"> Significantly different values as influenced by type of product (ns: no significant difference; * P&lt;0.05; ** P&lt;0.01; *** P&lt;0.001).</w:t>
            </w:r>
          </w:p>
        </w:tc>
      </w:tr>
      <w:tr w:rsidR="009C3761" w14:paraId="76435E44" w14:textId="77777777">
        <w:trPr>
          <w:trHeight w:val="300"/>
        </w:trPr>
        <w:tc>
          <w:tcPr>
            <w:tcW w:w="102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02" w14:textId="77777777" w:rsidR="009C3761" w:rsidRDefault="00000000">
            <w:pPr>
              <w:spacing w:after="0"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SFA</w:t>
            </w:r>
            <w:r>
              <w:rPr>
                <w:color w:val="000000"/>
                <w:sz w:val="18"/>
                <w:szCs w:val="18"/>
              </w:rPr>
              <w:t xml:space="preserve">: Saturated fatty acids; </w:t>
            </w:r>
            <w:r>
              <w:rPr>
                <w:b/>
                <w:color w:val="000000"/>
                <w:sz w:val="18"/>
                <w:szCs w:val="18"/>
              </w:rPr>
              <w:t>MUFA</w:t>
            </w:r>
            <w:r>
              <w:rPr>
                <w:color w:val="000000"/>
                <w:sz w:val="18"/>
                <w:szCs w:val="18"/>
              </w:rPr>
              <w:t xml:space="preserve">: Monounsaturated fatty acids; </w:t>
            </w:r>
            <w:r>
              <w:rPr>
                <w:b/>
                <w:color w:val="000000"/>
                <w:sz w:val="18"/>
                <w:szCs w:val="18"/>
              </w:rPr>
              <w:t>PUFA</w:t>
            </w:r>
            <w:r>
              <w:rPr>
                <w:color w:val="000000"/>
                <w:sz w:val="18"/>
                <w:szCs w:val="18"/>
              </w:rPr>
              <w:t xml:space="preserve">: Polyunsaturated fatty acids. </w:t>
            </w:r>
            <w:r>
              <w:rPr>
                <w:b/>
                <w:color w:val="000000"/>
                <w:sz w:val="18"/>
                <w:szCs w:val="18"/>
              </w:rPr>
              <w:t>n-3</w:t>
            </w:r>
            <w:r>
              <w:rPr>
                <w:color w:val="000000"/>
                <w:sz w:val="18"/>
                <w:szCs w:val="18"/>
              </w:rPr>
              <w:t xml:space="preserve">: Omega-3: </w:t>
            </w:r>
            <w:r>
              <w:rPr>
                <w:b/>
                <w:color w:val="000000"/>
                <w:sz w:val="18"/>
                <w:szCs w:val="18"/>
              </w:rPr>
              <w:t>n-6</w:t>
            </w:r>
            <w:r>
              <w:rPr>
                <w:color w:val="000000"/>
                <w:sz w:val="18"/>
                <w:szCs w:val="18"/>
              </w:rPr>
              <w:t>: Omega-6.</w:t>
            </w:r>
          </w:p>
        </w:tc>
      </w:tr>
    </w:tbl>
    <w:commentRangeEnd w:id="1"/>
    <w:p w14:paraId="0000010D" w14:textId="77777777" w:rsidR="009C3761" w:rsidRDefault="00F163AF">
      <w:pPr>
        <w:spacing w:after="0" w:line="240" w:lineRule="auto"/>
        <w:ind w:left="0" w:hanging="2"/>
      </w:pPr>
      <w:r>
        <w:rPr>
          <w:rStyle w:val="Refdecomentario"/>
        </w:rPr>
        <w:commentReference w:id="1"/>
      </w:r>
    </w:p>
    <w:sectPr w:rsidR="009C3761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onzalo Aleu" w:date="2022-07-26T22:21:00Z" w:initials="">
    <w:p w14:paraId="0000010F" w14:textId="77777777" w:rsidR="009C37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Solo de Formato:</w:t>
      </w:r>
    </w:p>
    <w:p w14:paraId="00000110" w14:textId="77777777" w:rsidR="009C37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Los autores se escribirán primero por el apellido con minúsculas, excepto la primera letra, y luego las iniciales de los nombres en mayúsculas, sin ninguna separación.</w:t>
      </w:r>
    </w:p>
    <w:p w14:paraId="00000111" w14:textId="77777777" w:rsidR="009C37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Curros B (1),  Echegaray N (1), Teixeira A (2)  ......</w:t>
      </w:r>
    </w:p>
  </w:comment>
  <w:comment w:id="1" w:author="Revisor" w:date="2022-08-03T13:57:00Z" w:initials="R">
    <w:p w14:paraId="449F43BF" w14:textId="77777777" w:rsidR="00F163AF" w:rsidRDefault="00F163AF" w:rsidP="005B62DE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rPr>
          <w:lang w:val="es-MX"/>
        </w:rPr>
        <w:t xml:space="preserve">Eliminar la tabla. Según las instrucciones, no se pueden presentar en el resumen tablas y figuras.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111" w15:done="0"/>
  <w15:commentEx w15:paraId="449F43B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4FD67" w16cex:dateUtc="2022-08-03T16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111" w16cid:durableId="2694FCF3"/>
  <w16cid:commentId w16cid:paraId="449F43BF" w16cid:durableId="2694FD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9B566" w14:textId="77777777" w:rsidR="00692ACE" w:rsidRDefault="00692AC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63DE046" w14:textId="77777777" w:rsidR="00692ACE" w:rsidRDefault="00692AC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9709D" w14:textId="77777777" w:rsidR="00692ACE" w:rsidRDefault="00692AC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69546D0" w14:textId="77777777" w:rsidR="00692ACE" w:rsidRDefault="00692AC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0E" w14:textId="77777777" w:rsidR="009C3761" w:rsidRDefault="0000000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 xml:space="preserve">VIII </w:t>
    </w:r>
    <w:proofErr w:type="spellStart"/>
    <w:r>
      <w:rPr>
        <w:b/>
        <w:i/>
        <w:color w:val="000000"/>
        <w:sz w:val="18"/>
        <w:szCs w:val="18"/>
        <w:highlight w:val="white"/>
      </w:rPr>
      <w:t>Congreso</w:t>
    </w:r>
    <w:proofErr w:type="spellEnd"/>
    <w:r>
      <w:rPr>
        <w:b/>
        <w:i/>
        <w:color w:val="000000"/>
        <w:sz w:val="18"/>
        <w:szCs w:val="18"/>
        <w:highlight w:val="white"/>
      </w:rPr>
      <w:t xml:space="preserve"> </w:t>
    </w:r>
    <w:proofErr w:type="spellStart"/>
    <w:r>
      <w:rPr>
        <w:b/>
        <w:i/>
        <w:color w:val="000000"/>
        <w:sz w:val="18"/>
        <w:szCs w:val="18"/>
        <w:highlight w:val="white"/>
      </w:rPr>
      <w:t>Internacional</w:t>
    </w:r>
    <w:proofErr w:type="spellEnd"/>
    <w:r>
      <w:rPr>
        <w:b/>
        <w:i/>
        <w:color w:val="000000"/>
        <w:sz w:val="18"/>
        <w:szCs w:val="18"/>
        <w:highlight w:val="white"/>
      </w:rPr>
      <w:t xml:space="preserve"> de </w:t>
    </w:r>
    <w:proofErr w:type="spellStart"/>
    <w:r>
      <w:rPr>
        <w:b/>
        <w:i/>
        <w:color w:val="000000"/>
        <w:sz w:val="18"/>
        <w:szCs w:val="18"/>
        <w:highlight w:val="white"/>
      </w:rPr>
      <w:t>Ciencia</w:t>
    </w:r>
    <w:proofErr w:type="spellEnd"/>
    <w:r>
      <w:rPr>
        <w:b/>
        <w:i/>
        <w:color w:val="000000"/>
        <w:sz w:val="18"/>
        <w:szCs w:val="18"/>
        <w:highlight w:val="white"/>
      </w:rPr>
      <w:t xml:space="preserve"> y </w:t>
    </w:r>
    <w:proofErr w:type="spellStart"/>
    <w:r>
      <w:rPr>
        <w:b/>
        <w:i/>
        <w:color w:val="000000"/>
        <w:sz w:val="18"/>
        <w:szCs w:val="18"/>
        <w:highlight w:val="white"/>
      </w:rPr>
      <w:t>Tecnología</w:t>
    </w:r>
    <w:proofErr w:type="spellEnd"/>
    <w:r>
      <w:rPr>
        <w:b/>
        <w:i/>
        <w:color w:val="000000"/>
        <w:sz w:val="18"/>
        <w:szCs w:val="18"/>
        <w:highlight w:val="white"/>
      </w:rPr>
      <w:t xml:space="preserve">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4E3D2B4" wp14:editId="131728C6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761"/>
    <w:rsid w:val="00692ACE"/>
    <w:rsid w:val="0084645D"/>
    <w:rsid w:val="009C3761"/>
    <w:rsid w:val="00F1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094B"/>
  <w15:docId w15:val="{4A4DEE09-B733-45D0-B6E5-D26948FF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2F4E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F4EB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F4EBC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4E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4EBC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09476C"/>
    <w:pPr>
      <w:spacing w:after="0" w:line="240" w:lineRule="auto"/>
      <w:jc w:val="left"/>
    </w:pPr>
    <w:rPr>
      <w:position w:val="-1"/>
      <w:lang w:eastAsia="en-US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AL5nnjXFCcGqQoixaqQvD+ntsQ==">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2</cp:revision>
  <dcterms:created xsi:type="dcterms:W3CDTF">2022-08-03T16:58:00Z</dcterms:created>
  <dcterms:modified xsi:type="dcterms:W3CDTF">2022-08-03T16:58:00Z</dcterms:modified>
</cp:coreProperties>
</file>