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3E52C29" w:rsidR="00472FF3" w:rsidRDefault="000F3225">
      <w:pPr>
        <w:shd w:val="clear" w:color="auto" w:fill="FFFFFF"/>
        <w:spacing w:after="0"/>
        <w:ind w:left="0" w:hanging="2"/>
        <w:jc w:val="center"/>
        <w:rPr>
          <w:b/>
        </w:rPr>
      </w:pPr>
      <w:r>
        <w:rPr>
          <w:b/>
        </w:rPr>
        <w:t xml:space="preserve">Estudio de la inactivación de inóculos simples y </w:t>
      </w:r>
      <w:r w:rsidRPr="00323335">
        <w:rPr>
          <w:b/>
          <w:color w:val="000000" w:themeColor="text1"/>
        </w:rPr>
        <w:t>compuestos</w:t>
      </w:r>
      <w:r w:rsidR="00823C13" w:rsidRPr="00323335">
        <w:rPr>
          <w:b/>
          <w:color w:val="000000" w:themeColor="text1"/>
        </w:rPr>
        <w:t xml:space="preserve"> en jugo de naranja </w:t>
      </w:r>
      <w:r w:rsidR="000C6059" w:rsidRPr="00323335">
        <w:rPr>
          <w:b/>
          <w:color w:val="000000" w:themeColor="text1"/>
        </w:rPr>
        <w:t xml:space="preserve">procesado por </w:t>
      </w:r>
      <w:r w:rsidR="00823C13" w:rsidRPr="00323335">
        <w:rPr>
          <w:b/>
          <w:color w:val="000000" w:themeColor="text1"/>
        </w:rPr>
        <w:t xml:space="preserve">luz UV-C </w:t>
      </w:r>
      <w:r w:rsidR="000C6059" w:rsidRPr="00323335">
        <w:rPr>
          <w:b/>
          <w:color w:val="000000" w:themeColor="text1"/>
        </w:rPr>
        <w:t>individual</w:t>
      </w:r>
      <w:r w:rsidR="00823C13" w:rsidRPr="00323335">
        <w:rPr>
          <w:b/>
          <w:color w:val="000000" w:themeColor="text1"/>
        </w:rPr>
        <w:t xml:space="preserve"> y asistida.</w:t>
      </w:r>
    </w:p>
    <w:p w14:paraId="00000002" w14:textId="77777777" w:rsidR="00472FF3" w:rsidRDefault="00472FF3">
      <w:pPr>
        <w:spacing w:after="0" w:line="240" w:lineRule="auto"/>
        <w:ind w:left="0" w:hanging="2"/>
        <w:jc w:val="center"/>
      </w:pPr>
    </w:p>
    <w:p w14:paraId="00000003" w14:textId="77777777" w:rsidR="00472FF3" w:rsidRDefault="000F3225">
      <w:pPr>
        <w:spacing w:after="0" w:line="240" w:lineRule="auto"/>
        <w:ind w:left="0" w:hanging="2"/>
        <w:jc w:val="center"/>
      </w:pPr>
      <w:r>
        <w:t xml:space="preserve">Durán Cassiet M (1, 2, 3), </w:t>
      </w:r>
      <w:proofErr w:type="spellStart"/>
      <w:r>
        <w:t>Ferrario</w:t>
      </w:r>
      <w:proofErr w:type="spellEnd"/>
      <w:r>
        <w:t xml:space="preserve"> M (1,2), Guerrero S* (1,2)</w:t>
      </w:r>
    </w:p>
    <w:p w14:paraId="00000004" w14:textId="77777777" w:rsidR="00472FF3" w:rsidRDefault="00472FF3">
      <w:pPr>
        <w:spacing w:after="0" w:line="240" w:lineRule="auto"/>
        <w:ind w:left="0" w:hanging="2"/>
        <w:jc w:val="center"/>
      </w:pPr>
    </w:p>
    <w:p w14:paraId="00000005" w14:textId="77777777" w:rsidR="00472FF3" w:rsidRDefault="000F3225">
      <w:pPr>
        <w:shd w:val="clear" w:color="auto" w:fill="FFFFFF"/>
        <w:spacing w:line="240" w:lineRule="auto"/>
        <w:ind w:left="0" w:right="44" w:hanging="2"/>
      </w:pPr>
      <w:r>
        <w:t xml:space="preserve">(1) Universidad de Buenos Aires. Facultad de Ciencias Exactas y Naturales. Departamento de Industrias, Intendente </w:t>
      </w:r>
      <w:r>
        <w:rPr>
          <w:highlight w:val="white"/>
        </w:rPr>
        <w:t>Güiraldes, 2160, Ciudad Autónoma de Buenos Aires, Argentina</w:t>
      </w:r>
    </w:p>
    <w:p w14:paraId="00000006" w14:textId="77777777" w:rsidR="00472FF3" w:rsidRDefault="000F3225">
      <w:pPr>
        <w:shd w:val="clear" w:color="auto" w:fill="FFFFFF"/>
        <w:spacing w:line="240" w:lineRule="auto"/>
        <w:ind w:left="0" w:right="44" w:hanging="2"/>
      </w:pPr>
      <w:r>
        <w:t>(2) CONICET - Universidad de Buenos Aires. Instituto de Tecnología de Alimentos y Procesos Químicos (ITAPROQ). Pabellón de Industrias. Ciudad Universitaria, Intendente</w:t>
      </w:r>
      <w:r>
        <w:rPr>
          <w:highlight w:val="white"/>
        </w:rPr>
        <w:t xml:space="preserve"> Güiraldes, 2160, Ciudad Autónoma de Buenos Aires, Argentina</w:t>
      </w:r>
    </w:p>
    <w:p w14:paraId="00000007" w14:textId="473F8AB3" w:rsidR="00472FF3" w:rsidRDefault="005B3C00">
      <w:pPr>
        <w:shd w:val="clear" w:color="auto" w:fill="FFFFFF"/>
        <w:spacing w:line="240" w:lineRule="auto"/>
        <w:ind w:left="0" w:right="44" w:hanging="2"/>
      </w:pPr>
      <w:r>
        <w:rPr>
          <w:highlight w:val="white"/>
        </w:rPr>
        <w:t xml:space="preserve">(3) Becaria doctoral - </w:t>
      </w:r>
      <w:r w:rsidRPr="005B3C00">
        <w:rPr>
          <w:bCs/>
          <w:color w:val="202122"/>
          <w:shd w:val="clear" w:color="auto" w:fill="FFFFFF"/>
        </w:rPr>
        <w:t>Agencia Nacional de Promoción Científica y Tecnológica </w:t>
      </w:r>
      <w:r w:rsidRPr="005B3C00">
        <w:rPr>
          <w:color w:val="202122"/>
          <w:shd w:val="clear" w:color="auto" w:fill="FFFFFF"/>
        </w:rPr>
        <w:t>(</w:t>
      </w:r>
      <w:proofErr w:type="spellStart"/>
      <w:r w:rsidRPr="005B3C00">
        <w:rPr>
          <w:bCs/>
          <w:color w:val="202122"/>
          <w:shd w:val="clear" w:color="auto" w:fill="FFFFFF"/>
        </w:rPr>
        <w:t>ANPCyT</w:t>
      </w:r>
      <w:proofErr w:type="spellEnd"/>
      <w:r w:rsidRPr="005B3C00">
        <w:rPr>
          <w:color w:val="202122"/>
          <w:shd w:val="clear" w:color="auto" w:fill="FFFFFF"/>
        </w:rPr>
        <w:t>)</w:t>
      </w:r>
    </w:p>
    <w:p w14:paraId="00000008" w14:textId="77777777" w:rsidR="00472FF3" w:rsidRDefault="000F322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sniguerrero@gmail.com </w:t>
      </w:r>
      <w:r>
        <w:tab/>
      </w:r>
    </w:p>
    <w:p w14:paraId="00000009" w14:textId="77777777" w:rsidR="00472FF3" w:rsidRDefault="000F322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ab/>
      </w:r>
    </w:p>
    <w:p w14:paraId="0000000A" w14:textId="5870427B" w:rsidR="00472FF3" w:rsidRDefault="00A43E66">
      <w:pPr>
        <w:spacing w:after="0"/>
        <w:ind w:left="0" w:hanging="2"/>
        <w:rPr>
          <w:strike/>
        </w:rPr>
      </w:pPr>
      <w:r w:rsidRPr="00323335">
        <w:rPr>
          <w:color w:val="000000" w:themeColor="text1"/>
        </w:rPr>
        <w:t>En las últimas décadas</w:t>
      </w:r>
      <w:r w:rsidR="00E06EAF" w:rsidRPr="00323335">
        <w:rPr>
          <w:color w:val="000000" w:themeColor="text1"/>
        </w:rPr>
        <w:t xml:space="preserve"> se </w:t>
      </w:r>
      <w:r w:rsidRPr="00323335">
        <w:rPr>
          <w:color w:val="000000" w:themeColor="text1"/>
        </w:rPr>
        <w:t>viene exploran</w:t>
      </w:r>
      <w:r w:rsidR="00DB4F0F">
        <w:rPr>
          <w:color w:val="000000" w:themeColor="text1"/>
        </w:rPr>
        <w:t>d</w:t>
      </w:r>
      <w:r w:rsidRPr="00323335">
        <w:rPr>
          <w:color w:val="000000" w:themeColor="text1"/>
        </w:rPr>
        <w:t>o</w:t>
      </w:r>
      <w:r w:rsidR="00E06EAF" w:rsidRPr="00323335">
        <w:rPr>
          <w:color w:val="000000" w:themeColor="text1"/>
        </w:rPr>
        <w:t xml:space="preserve"> el uso de tecnologías </w:t>
      </w:r>
      <w:r w:rsidR="000C6059" w:rsidRPr="00323335">
        <w:rPr>
          <w:color w:val="000000" w:themeColor="text1"/>
        </w:rPr>
        <w:t>nóveles</w:t>
      </w:r>
      <w:r w:rsidR="00E06EAF" w:rsidRPr="00323335">
        <w:rPr>
          <w:color w:val="000000" w:themeColor="text1"/>
        </w:rPr>
        <w:t xml:space="preserve"> con el objeto de reemplazar, al menos parcialmente, la severidad </w:t>
      </w:r>
      <w:r w:rsidR="000C6059" w:rsidRPr="00323335">
        <w:rPr>
          <w:color w:val="000000" w:themeColor="text1"/>
        </w:rPr>
        <w:t xml:space="preserve">del </w:t>
      </w:r>
      <w:r w:rsidR="00E06EAF" w:rsidRPr="00323335">
        <w:rPr>
          <w:color w:val="000000" w:themeColor="text1"/>
        </w:rPr>
        <w:t xml:space="preserve">tratamiento térmico. </w:t>
      </w:r>
      <w:r w:rsidR="000C6059" w:rsidRPr="00323335">
        <w:rPr>
          <w:color w:val="000000" w:themeColor="text1"/>
          <w:lang w:val="es-ES"/>
        </w:rPr>
        <w:t xml:space="preserve">La elevada efectividad </w:t>
      </w:r>
      <w:r w:rsidR="00E06EAF" w:rsidRPr="00323335">
        <w:rPr>
          <w:color w:val="000000" w:themeColor="text1"/>
          <w:lang w:val="es-ES"/>
        </w:rPr>
        <w:t xml:space="preserve">de la </w:t>
      </w:r>
      <w:r w:rsidR="000C6059" w:rsidRPr="00323335">
        <w:rPr>
          <w:color w:val="000000" w:themeColor="text1"/>
          <w:lang w:val="es-ES"/>
        </w:rPr>
        <w:t>luz</w:t>
      </w:r>
      <w:r w:rsidR="00E06EAF" w:rsidRPr="00323335">
        <w:rPr>
          <w:color w:val="000000" w:themeColor="text1"/>
          <w:lang w:val="es-ES"/>
        </w:rPr>
        <w:t xml:space="preserve"> ultravioleta (UV-C, 254nm)</w:t>
      </w:r>
      <w:r w:rsidR="00E06EAF" w:rsidRPr="00323335">
        <w:rPr>
          <w:color w:val="000000" w:themeColor="text1"/>
        </w:rPr>
        <w:t xml:space="preserve"> </w:t>
      </w:r>
      <w:r w:rsidR="000F3225" w:rsidRPr="00323335">
        <w:rPr>
          <w:color w:val="000000" w:themeColor="text1"/>
        </w:rPr>
        <w:t xml:space="preserve">para </w:t>
      </w:r>
      <w:proofErr w:type="spellStart"/>
      <w:r w:rsidR="000F3225" w:rsidRPr="00323335">
        <w:rPr>
          <w:color w:val="000000" w:themeColor="text1"/>
        </w:rPr>
        <w:t>decontaminar</w:t>
      </w:r>
      <w:proofErr w:type="spellEnd"/>
      <w:r w:rsidR="000F3225" w:rsidRPr="00323335">
        <w:rPr>
          <w:color w:val="000000" w:themeColor="text1"/>
        </w:rPr>
        <w:t xml:space="preserve"> agua </w:t>
      </w:r>
      <w:r w:rsidR="000C6059" w:rsidRPr="00323335">
        <w:rPr>
          <w:color w:val="000000" w:themeColor="text1"/>
        </w:rPr>
        <w:t>y bebidas</w:t>
      </w:r>
      <w:r w:rsidR="000F3225" w:rsidRPr="00323335">
        <w:rPr>
          <w:color w:val="000000" w:themeColor="text1"/>
        </w:rPr>
        <w:t xml:space="preserve"> claras disminuye notablemente en matrices con </w:t>
      </w:r>
      <w:sdt>
        <w:sdtPr>
          <w:rPr>
            <w:color w:val="000000" w:themeColor="text1"/>
          </w:rPr>
          <w:tag w:val="goog_rdk_1"/>
          <w:id w:val="1793481500"/>
        </w:sdtPr>
        <w:sdtContent/>
      </w:sdt>
      <w:r w:rsidR="000F3225" w:rsidRPr="00323335">
        <w:rPr>
          <w:color w:val="000000" w:themeColor="text1"/>
        </w:rPr>
        <w:t xml:space="preserve"> partículas </w:t>
      </w:r>
      <w:r w:rsidR="00823C13" w:rsidRPr="00323335">
        <w:rPr>
          <w:color w:val="000000" w:themeColor="text1"/>
        </w:rPr>
        <w:t xml:space="preserve">en </w:t>
      </w:r>
      <w:r w:rsidR="000F3225" w:rsidRPr="00323335">
        <w:rPr>
          <w:color w:val="000000" w:themeColor="text1"/>
        </w:rPr>
        <w:t xml:space="preserve">suspensión </w:t>
      </w:r>
      <w:r w:rsidR="000F3225" w:rsidRPr="000C6059">
        <w:t>y/o compuestos que absorben la luz en el rango ultravioleta.</w:t>
      </w:r>
      <w:r w:rsidR="000C6059">
        <w:t xml:space="preserve"> </w:t>
      </w:r>
      <w:r w:rsidR="000F3225">
        <w:t>El objetivo de este trabajo fue estudiar y caracterizar</w:t>
      </w:r>
      <w:r w:rsidR="00823C13">
        <w:t xml:space="preserve"> la inactivación de </w:t>
      </w:r>
      <w:r w:rsidR="00823C13" w:rsidRPr="00323335">
        <w:rPr>
          <w:color w:val="000000" w:themeColor="text1"/>
        </w:rPr>
        <w:t xml:space="preserve">esporas de </w:t>
      </w:r>
      <w:proofErr w:type="spellStart"/>
      <w:r w:rsidR="00823C13" w:rsidRPr="00323335">
        <w:rPr>
          <w:i/>
          <w:color w:val="000000" w:themeColor="text1"/>
        </w:rPr>
        <w:t>Alicyclobacillus</w:t>
      </w:r>
      <w:proofErr w:type="spellEnd"/>
      <w:r w:rsidR="00823C13" w:rsidRPr="00323335">
        <w:rPr>
          <w:i/>
          <w:color w:val="000000" w:themeColor="text1"/>
        </w:rPr>
        <w:t xml:space="preserve"> </w:t>
      </w:r>
      <w:proofErr w:type="spellStart"/>
      <w:r w:rsidR="00823C13" w:rsidRPr="00323335">
        <w:rPr>
          <w:i/>
          <w:color w:val="000000" w:themeColor="text1"/>
        </w:rPr>
        <w:t>acidoterrestris</w:t>
      </w:r>
      <w:proofErr w:type="spellEnd"/>
      <w:r w:rsidR="00823C13" w:rsidRPr="00323335">
        <w:rPr>
          <w:i/>
          <w:color w:val="000000" w:themeColor="text1"/>
        </w:rPr>
        <w:t xml:space="preserve"> </w:t>
      </w:r>
      <w:r w:rsidR="00823C13" w:rsidRPr="00323335">
        <w:rPr>
          <w:color w:val="000000" w:themeColor="text1"/>
        </w:rPr>
        <w:t xml:space="preserve">ATCC 49025 y de </w:t>
      </w:r>
      <w:r w:rsidR="000F3225" w:rsidRPr="00323335">
        <w:rPr>
          <w:color w:val="000000" w:themeColor="text1"/>
        </w:rPr>
        <w:t xml:space="preserve">inóculos </w:t>
      </w:r>
      <w:r w:rsidR="000F3225">
        <w:t xml:space="preserve">compuestos de </w:t>
      </w:r>
      <w:proofErr w:type="spellStart"/>
      <w:r w:rsidR="000F3225">
        <w:rPr>
          <w:i/>
        </w:rPr>
        <w:t>Escherichia</w:t>
      </w:r>
      <w:proofErr w:type="spellEnd"/>
      <w:r w:rsidR="000F3225">
        <w:rPr>
          <w:i/>
        </w:rPr>
        <w:t xml:space="preserve"> </w:t>
      </w:r>
      <w:proofErr w:type="spellStart"/>
      <w:r w:rsidR="000F3225">
        <w:rPr>
          <w:i/>
        </w:rPr>
        <w:t>coli</w:t>
      </w:r>
      <w:proofErr w:type="spellEnd"/>
      <w:r w:rsidR="000F3225">
        <w:rPr>
          <w:i/>
        </w:rPr>
        <w:t xml:space="preserve"> </w:t>
      </w:r>
      <w:r w:rsidR="000F3225">
        <w:t>(ATCC 25922, ATCC 8738 y ATCC 11229); levaduras (</w:t>
      </w:r>
      <w:proofErr w:type="spellStart"/>
      <w:r w:rsidR="000F3225">
        <w:rPr>
          <w:i/>
        </w:rPr>
        <w:t>Saccharomyces</w:t>
      </w:r>
      <w:proofErr w:type="spellEnd"/>
      <w:r w:rsidR="000F3225">
        <w:rPr>
          <w:i/>
        </w:rPr>
        <w:t xml:space="preserve"> </w:t>
      </w:r>
      <w:proofErr w:type="spellStart"/>
      <w:r w:rsidR="000F3225">
        <w:rPr>
          <w:i/>
        </w:rPr>
        <w:t>cerevisiae</w:t>
      </w:r>
      <w:proofErr w:type="spellEnd"/>
      <w:r w:rsidR="000F3225">
        <w:t xml:space="preserve"> KE 162, </w:t>
      </w:r>
      <w:proofErr w:type="spellStart"/>
      <w:r w:rsidR="000F3225">
        <w:rPr>
          <w:i/>
        </w:rPr>
        <w:t>Zygosaccharomyces</w:t>
      </w:r>
      <w:proofErr w:type="spellEnd"/>
      <w:r w:rsidR="000F3225">
        <w:rPr>
          <w:i/>
        </w:rPr>
        <w:t xml:space="preserve"> </w:t>
      </w:r>
      <w:proofErr w:type="spellStart"/>
      <w:r w:rsidR="000F3225">
        <w:rPr>
          <w:i/>
        </w:rPr>
        <w:t>bailii</w:t>
      </w:r>
      <w:proofErr w:type="spellEnd"/>
      <w:r w:rsidR="000F3225">
        <w:t xml:space="preserve"> NRRL 7256 y </w:t>
      </w:r>
      <w:proofErr w:type="spellStart"/>
      <w:r w:rsidR="000F3225">
        <w:rPr>
          <w:i/>
        </w:rPr>
        <w:t>Candida</w:t>
      </w:r>
      <w:proofErr w:type="spellEnd"/>
      <w:r w:rsidR="000F3225">
        <w:rPr>
          <w:i/>
        </w:rPr>
        <w:t xml:space="preserve"> </w:t>
      </w:r>
      <w:proofErr w:type="spellStart"/>
      <w:r w:rsidR="000F3225">
        <w:rPr>
          <w:i/>
        </w:rPr>
        <w:t>parapsilosis</w:t>
      </w:r>
      <w:proofErr w:type="spellEnd"/>
      <w:r w:rsidR="000F3225">
        <w:t xml:space="preserve"> ATCC 22019) y </w:t>
      </w:r>
      <w:r w:rsidR="000F3225">
        <w:rPr>
          <w:i/>
        </w:rPr>
        <w:t>Salmonella</w:t>
      </w:r>
      <w:r w:rsidR="000F3225">
        <w:t xml:space="preserve"> (</w:t>
      </w:r>
      <w:r w:rsidR="000F3225">
        <w:rPr>
          <w:i/>
        </w:rPr>
        <w:t>S.</w:t>
      </w:r>
      <w:r w:rsidR="000F3225">
        <w:t xml:space="preserve"> </w:t>
      </w:r>
      <w:proofErr w:type="spellStart"/>
      <w:r w:rsidR="000F3225">
        <w:t>Typhimurium</w:t>
      </w:r>
      <w:proofErr w:type="spellEnd"/>
      <w:r w:rsidR="000F3225">
        <w:t xml:space="preserve"> ATCC 14028, </w:t>
      </w:r>
      <w:r w:rsidR="000F3225">
        <w:rPr>
          <w:i/>
        </w:rPr>
        <w:t>S</w:t>
      </w:r>
      <w:r w:rsidR="000F3225">
        <w:t xml:space="preserve">. Montevideo y </w:t>
      </w:r>
      <w:r w:rsidR="000F3225">
        <w:rPr>
          <w:i/>
        </w:rPr>
        <w:t>S</w:t>
      </w:r>
      <w:r w:rsidR="000F3225">
        <w:t xml:space="preserve">. </w:t>
      </w:r>
      <w:proofErr w:type="spellStart"/>
      <w:r w:rsidR="000F3225">
        <w:t>Gaminara</w:t>
      </w:r>
      <w:proofErr w:type="spellEnd"/>
      <w:r w:rsidR="000F3225" w:rsidRPr="00BF5D98">
        <w:t>)</w:t>
      </w:r>
      <w:r>
        <w:t xml:space="preserve"> </w:t>
      </w:r>
      <w:r w:rsidR="000F3225">
        <w:t>en jugo de naranja sin conservantes ni aditivos (pH:3.6±0.1; 12.7±1.0°Brix; 2967±33 NTU, coeficiente de absortividad:0,7cm</w:t>
      </w:r>
      <w:r w:rsidR="000F3225">
        <w:rPr>
          <w:vertAlign w:val="superscript"/>
        </w:rPr>
        <w:t>-1</w:t>
      </w:r>
      <w:r w:rsidR="000F3225">
        <w:t>, UVT%= 19,5%) procesado en un equipo de procesamiento por luz UV-C</w:t>
      </w:r>
      <w:r w:rsidR="00323335">
        <w:t xml:space="preserve"> </w:t>
      </w:r>
      <w:r w:rsidR="00323335" w:rsidRPr="00323335">
        <w:rPr>
          <w:color w:val="000000" w:themeColor="text1"/>
        </w:rPr>
        <w:t xml:space="preserve">individual </w:t>
      </w:r>
      <w:r w:rsidR="000F3225">
        <w:t>(</w:t>
      </w:r>
      <w:r w:rsidR="000F3225">
        <w:rPr>
          <w:highlight w:val="white"/>
        </w:rPr>
        <w:t xml:space="preserve">750mL; 2 lámparas, 30W; 1,8L/min;20°C;20 min; fluencia entregada </w:t>
      </w:r>
      <w:r w:rsidR="000F3225">
        <w:rPr>
          <w:highlight w:val="white"/>
          <w:vertAlign w:val="subscript"/>
        </w:rPr>
        <w:t xml:space="preserve">actinometría: </w:t>
      </w:r>
      <w:r w:rsidR="000F3225">
        <w:rPr>
          <w:highlight w:val="white"/>
        </w:rPr>
        <w:t>2431mJ/cm</w:t>
      </w:r>
      <w:r w:rsidR="000F3225">
        <w:rPr>
          <w:highlight w:val="white"/>
          <w:vertAlign w:val="superscript"/>
        </w:rPr>
        <w:t>2</w:t>
      </w:r>
      <w:r w:rsidR="000F3225">
        <w:rPr>
          <w:highlight w:val="white"/>
        </w:rPr>
        <w:t xml:space="preserve">; fluencia </w:t>
      </w:r>
      <w:proofErr w:type="spellStart"/>
      <w:r w:rsidR="000F3225">
        <w:rPr>
          <w:highlight w:val="white"/>
        </w:rPr>
        <w:t>germicida</w:t>
      </w:r>
      <w:r w:rsidR="000F3225">
        <w:rPr>
          <w:highlight w:val="white"/>
          <w:vertAlign w:val="subscript"/>
        </w:rPr>
        <w:t>biodosimetría</w:t>
      </w:r>
      <w:proofErr w:type="spellEnd"/>
      <w:r w:rsidR="000F3225">
        <w:rPr>
          <w:highlight w:val="white"/>
        </w:rPr>
        <w:t>: 19,1mJ/cm</w:t>
      </w:r>
      <w:r w:rsidR="000F3225">
        <w:rPr>
          <w:highlight w:val="white"/>
          <w:vertAlign w:val="superscript"/>
        </w:rPr>
        <w:t>2</w:t>
      </w:r>
      <w:r w:rsidR="000F3225">
        <w:rPr>
          <w:highlight w:val="white"/>
        </w:rPr>
        <w:t>;</w:t>
      </w:r>
      <w:r w:rsidR="000F3225">
        <w:rPr>
          <w:highlight w:val="white"/>
          <w:vertAlign w:val="superscript"/>
        </w:rPr>
        <w:t xml:space="preserve"> </w:t>
      </w:r>
      <w:r w:rsidR="000F3225">
        <w:t>Re</w:t>
      </w:r>
      <w:r w:rsidR="000F3225">
        <w:rPr>
          <w:vertAlign w:val="subscript"/>
        </w:rPr>
        <w:t>h</w:t>
      </w:r>
      <w:r w:rsidR="000F3225">
        <w:t>:646</w:t>
      </w:r>
      <w:r>
        <w:t xml:space="preserve">) </w:t>
      </w:r>
      <w:r w:rsidR="00323335" w:rsidRPr="00323335">
        <w:rPr>
          <w:color w:val="000000" w:themeColor="text1"/>
        </w:rPr>
        <w:t>o</w:t>
      </w:r>
      <w:r w:rsidR="000F3225" w:rsidRPr="00323335">
        <w:rPr>
          <w:color w:val="000000" w:themeColor="text1"/>
        </w:rPr>
        <w:t xml:space="preserve"> asistida </w:t>
      </w:r>
      <w:r w:rsidRPr="00323335">
        <w:rPr>
          <w:color w:val="000000" w:themeColor="text1"/>
        </w:rPr>
        <w:t>por temperatura moderada</w:t>
      </w:r>
      <w:r w:rsidR="000F3225" w:rsidRPr="00323335">
        <w:rPr>
          <w:color w:val="000000" w:themeColor="text1"/>
        </w:rPr>
        <w:t xml:space="preserve"> </w:t>
      </w:r>
      <w:r w:rsidR="000F3225">
        <w:t>(50°C, UV-T).</w:t>
      </w:r>
      <w:r w:rsidR="00E06EAF">
        <w:t xml:space="preserve"> </w:t>
      </w:r>
      <w:r w:rsidR="00E06EAF" w:rsidRPr="00323335">
        <w:rPr>
          <w:color w:val="000000" w:themeColor="text1"/>
        </w:rPr>
        <w:t>Los resultados fueron expresados como Log</w:t>
      </w:r>
      <w:r w:rsidR="009928CC" w:rsidRPr="00323335">
        <w:rPr>
          <w:color w:val="000000" w:themeColor="text1"/>
        </w:rPr>
        <w:t xml:space="preserve"> </w:t>
      </w:r>
      <w:r w:rsidR="00E06EAF" w:rsidRPr="00323335">
        <w:rPr>
          <w:color w:val="000000" w:themeColor="text1"/>
        </w:rPr>
        <w:t>N (</w:t>
      </w:r>
      <w:r w:rsidR="00E06EAF" w:rsidRPr="00323335">
        <w:rPr>
          <w:color w:val="000000" w:themeColor="text1"/>
          <w:position w:val="0"/>
          <w:lang w:val="es-MX"/>
        </w:rPr>
        <w:t>N:unidades formadoras de colonia/mL) vs</w:t>
      </w:r>
      <w:r w:rsidR="009928CC" w:rsidRPr="00323335">
        <w:rPr>
          <w:color w:val="000000" w:themeColor="text1"/>
          <w:position w:val="0"/>
          <w:lang w:val="es-MX"/>
        </w:rPr>
        <w:t>.</w:t>
      </w:r>
      <w:r w:rsidR="00E06EAF" w:rsidRPr="00323335">
        <w:rPr>
          <w:color w:val="000000" w:themeColor="text1"/>
          <w:position w:val="0"/>
          <w:lang w:val="es-MX"/>
        </w:rPr>
        <w:t xml:space="preserve"> tiempo</w:t>
      </w:r>
      <w:r w:rsidR="00E06EAF" w:rsidRPr="00323335">
        <w:rPr>
          <w:color w:val="000000" w:themeColor="text1"/>
          <w:position w:val="0"/>
          <w:sz w:val="21"/>
          <w:szCs w:val="21"/>
          <w:lang w:val="es-MX"/>
        </w:rPr>
        <w:t xml:space="preserve">. </w:t>
      </w:r>
      <w:r w:rsidR="000F3225">
        <w:t>La</w:t>
      </w:r>
      <w:r w:rsidR="00323335">
        <w:t>s</w:t>
      </w:r>
      <w:r w:rsidR="000F3225">
        <w:t xml:space="preserve"> curvas de inactivación microbiana se caracterizaron según los modelos de </w:t>
      </w:r>
      <w:r w:rsidR="000F3225">
        <w:rPr>
          <w:i/>
        </w:rPr>
        <w:t>Weibull</w:t>
      </w:r>
      <w:r w:rsidR="000F3225">
        <w:t xml:space="preserve">, </w:t>
      </w:r>
      <w:proofErr w:type="spellStart"/>
      <w:r w:rsidR="000F3225">
        <w:rPr>
          <w:i/>
        </w:rPr>
        <w:t>Coroller</w:t>
      </w:r>
      <w:proofErr w:type="spellEnd"/>
      <w:r w:rsidR="000F3225">
        <w:t xml:space="preserve"> y </w:t>
      </w:r>
      <w:r w:rsidR="000F3225">
        <w:rPr>
          <w:i/>
        </w:rPr>
        <w:t>Weibull</w:t>
      </w:r>
      <w:r w:rsidR="004464C9">
        <w:rPr>
          <w:i/>
        </w:rPr>
        <w:t>-</w:t>
      </w:r>
      <w:r w:rsidR="000F3225">
        <w:rPr>
          <w:i/>
        </w:rPr>
        <w:t>con</w:t>
      </w:r>
      <w:r w:rsidR="004464C9">
        <w:rPr>
          <w:i/>
        </w:rPr>
        <w:t>-</w:t>
      </w:r>
      <w:r w:rsidR="000F3225">
        <w:rPr>
          <w:i/>
        </w:rPr>
        <w:t>cola</w:t>
      </w:r>
      <w:r w:rsidR="000F3225">
        <w:t xml:space="preserve">. </w:t>
      </w:r>
      <w:r w:rsidR="004464C9" w:rsidRPr="00323335">
        <w:rPr>
          <w:color w:val="000000" w:themeColor="text1"/>
        </w:rPr>
        <w:t>Las</w:t>
      </w:r>
      <w:r w:rsidR="000F3225" w:rsidRPr="00323335">
        <w:rPr>
          <w:color w:val="000000" w:themeColor="text1"/>
        </w:rPr>
        <w:t xml:space="preserve"> </w:t>
      </w:r>
      <w:r w:rsidR="000F3225">
        <w:t>cinéticas de inactivación correspondientes al tratamiento UV-C presentaron concavidad hacia abajo, mientras que las</w:t>
      </w:r>
      <w:r w:rsidR="00E31788" w:rsidRPr="003A507B">
        <w:rPr>
          <w:color w:val="000000" w:themeColor="text1"/>
        </w:rPr>
        <w:t xml:space="preserve"> de</w:t>
      </w:r>
      <w:r w:rsidR="000F3225" w:rsidRPr="003A507B">
        <w:rPr>
          <w:color w:val="000000" w:themeColor="text1"/>
        </w:rPr>
        <w:t xml:space="preserve"> </w:t>
      </w:r>
      <w:r w:rsidRPr="003A507B">
        <w:rPr>
          <w:color w:val="000000" w:themeColor="text1"/>
        </w:rPr>
        <w:t xml:space="preserve">procesamiento </w:t>
      </w:r>
      <w:r w:rsidR="000F3225">
        <w:t xml:space="preserve">UV-T, resultaron cóncavas hacia arriba, por lo que la asistencia al UV mejoró la inactivación microbiana a bajos valores de fluencia entregada. </w:t>
      </w:r>
      <w:r w:rsidR="004464C9">
        <w:t xml:space="preserve">El uso simple de temperatura </w:t>
      </w:r>
      <w:r w:rsidR="000F3225" w:rsidRPr="004464C9">
        <w:t xml:space="preserve">(50°C)  </w:t>
      </w:r>
      <w:r w:rsidR="000F3225">
        <w:t xml:space="preserve">provocó  0,6; 0,6 y 3,0 reducciones logarítmicas de los cócteles de </w:t>
      </w:r>
      <w:r w:rsidR="000F3225">
        <w:rPr>
          <w:i/>
        </w:rPr>
        <w:t xml:space="preserve">E. </w:t>
      </w:r>
      <w:proofErr w:type="spellStart"/>
      <w:r w:rsidR="000F3225">
        <w:rPr>
          <w:i/>
        </w:rPr>
        <w:t>coli</w:t>
      </w:r>
      <w:proofErr w:type="spellEnd"/>
      <w:r w:rsidR="000F3225">
        <w:t xml:space="preserve">, levaduras y  </w:t>
      </w:r>
      <w:sdt>
        <w:sdtPr>
          <w:tag w:val="goog_rdk_3"/>
          <w:id w:val="-2080814227"/>
          <w:showingPlcHdr/>
        </w:sdtPr>
        <w:sdtEndPr>
          <w:rPr>
            <w:color w:val="000000" w:themeColor="text1"/>
          </w:rPr>
        </w:sdtEndPr>
        <w:sdtContent>
          <w:r w:rsidR="003A507B" w:rsidRPr="003A507B">
            <w:rPr>
              <w:color w:val="000000" w:themeColor="text1"/>
            </w:rPr>
            <w:t xml:space="preserve">     </w:t>
          </w:r>
        </w:sdtContent>
      </w:sdt>
      <w:r w:rsidR="000F3225" w:rsidRPr="003A507B">
        <w:rPr>
          <w:color w:val="000000" w:themeColor="text1"/>
        </w:rPr>
        <w:t>Salmonella</w:t>
      </w:r>
      <w:r w:rsidR="00E31788" w:rsidRPr="003A507B">
        <w:rPr>
          <w:color w:val="000000" w:themeColor="text1"/>
        </w:rPr>
        <w:t xml:space="preserve"> </w:t>
      </w:r>
      <w:proofErr w:type="spellStart"/>
      <w:r w:rsidR="00E31788" w:rsidRPr="003A507B">
        <w:rPr>
          <w:color w:val="000000" w:themeColor="text1"/>
        </w:rPr>
        <w:t>spp</w:t>
      </w:r>
      <w:proofErr w:type="spellEnd"/>
      <w:r w:rsidR="00E31788" w:rsidRPr="003A507B">
        <w:rPr>
          <w:color w:val="000000" w:themeColor="text1"/>
        </w:rPr>
        <w:t>.</w:t>
      </w:r>
      <w:r w:rsidR="000F3225" w:rsidRPr="003A507B">
        <w:rPr>
          <w:color w:val="000000" w:themeColor="text1"/>
        </w:rPr>
        <w:t xml:space="preserve"> mientras </w:t>
      </w:r>
      <w:r w:rsidR="000F3225">
        <w:t xml:space="preserve">que no inactivó </w:t>
      </w:r>
      <w:r w:rsidR="000F3225">
        <w:rPr>
          <w:i/>
        </w:rPr>
        <w:t xml:space="preserve">A. </w:t>
      </w:r>
      <w:proofErr w:type="spellStart"/>
      <w:r w:rsidR="000F3225">
        <w:rPr>
          <w:i/>
        </w:rPr>
        <w:t>acidoterrestris</w:t>
      </w:r>
      <w:proofErr w:type="spellEnd"/>
      <w:r w:rsidR="000F3225">
        <w:rPr>
          <w:i/>
        </w:rPr>
        <w:t>.</w:t>
      </w:r>
      <w:r w:rsidR="000F3225">
        <w:t xml:space="preserve"> Asimismo, el tratamiento UV-C indujo reducciones de 4,6; 2,6; 2,6 y 1,5 </w:t>
      </w:r>
      <w:sdt>
        <w:sdtPr>
          <w:tag w:val="goog_rdk_4"/>
          <w:id w:val="-565410055"/>
        </w:sdtPr>
        <w:sdtContent/>
      </w:sdt>
      <w:r w:rsidR="000F3225">
        <w:t xml:space="preserve">ciclos logarítmicos de los cócteles de </w:t>
      </w:r>
      <w:r w:rsidR="000F3225">
        <w:rPr>
          <w:i/>
        </w:rPr>
        <w:t xml:space="preserve">E. </w:t>
      </w:r>
      <w:proofErr w:type="spellStart"/>
      <w:r w:rsidR="000F3225">
        <w:rPr>
          <w:i/>
        </w:rPr>
        <w:t>coli</w:t>
      </w:r>
      <w:proofErr w:type="spellEnd"/>
      <w:r w:rsidR="000F3225">
        <w:t>, levaduras</w:t>
      </w:r>
      <w:r w:rsidR="000F3225" w:rsidRPr="003A507B">
        <w:rPr>
          <w:color w:val="000000" w:themeColor="text1"/>
        </w:rPr>
        <w:t xml:space="preserve">, </w:t>
      </w:r>
      <w:r w:rsidR="00E31788" w:rsidRPr="005B7C9C">
        <w:rPr>
          <w:i/>
          <w:color w:val="000000" w:themeColor="text1"/>
        </w:rPr>
        <w:t xml:space="preserve">Salmonella </w:t>
      </w:r>
      <w:proofErr w:type="spellStart"/>
      <w:r w:rsidR="00E31788" w:rsidRPr="005B7C9C">
        <w:rPr>
          <w:i/>
          <w:color w:val="000000" w:themeColor="text1"/>
        </w:rPr>
        <w:t>spp</w:t>
      </w:r>
      <w:proofErr w:type="spellEnd"/>
      <w:r w:rsidR="00E31788" w:rsidRPr="005B7C9C">
        <w:rPr>
          <w:i/>
          <w:color w:val="000000" w:themeColor="text1"/>
        </w:rPr>
        <w:t>.</w:t>
      </w:r>
      <w:r w:rsidR="00E31788" w:rsidRPr="003A507B">
        <w:rPr>
          <w:color w:val="000000" w:themeColor="text1"/>
        </w:rPr>
        <w:t xml:space="preserve"> </w:t>
      </w:r>
      <w:r w:rsidR="000F3225" w:rsidRPr="003A507B">
        <w:rPr>
          <w:color w:val="000000" w:themeColor="text1"/>
        </w:rPr>
        <w:t xml:space="preserve">y </w:t>
      </w:r>
      <w:r w:rsidR="000F3225">
        <w:rPr>
          <w:i/>
        </w:rPr>
        <w:t xml:space="preserve">A. </w:t>
      </w:r>
      <w:proofErr w:type="spellStart"/>
      <w:r w:rsidR="000F3225">
        <w:rPr>
          <w:i/>
        </w:rPr>
        <w:t>acidoterrestris</w:t>
      </w:r>
      <w:proofErr w:type="spellEnd"/>
      <w:r w:rsidR="000F3225">
        <w:t xml:space="preserve">, </w:t>
      </w:r>
      <w:r w:rsidR="000F3225">
        <w:lastRenderedPageBreak/>
        <w:t xml:space="preserve">respectivamente, siendo estas últimas la de mayor resistencia. Por lo que el tratamiento UV-T provocó </w:t>
      </w:r>
      <w:r w:rsidR="000F3225" w:rsidRPr="003A507B">
        <w:rPr>
          <w:color w:val="000000" w:themeColor="text1"/>
        </w:rPr>
        <w:t xml:space="preserve">efectos de </w:t>
      </w:r>
      <w:r w:rsidR="000F3225" w:rsidRPr="003A507B">
        <w:rPr>
          <w:i/>
          <w:iCs/>
          <w:color w:val="000000" w:themeColor="text1"/>
        </w:rPr>
        <w:t>aditivos</w:t>
      </w:r>
      <w:r w:rsidR="000F3225" w:rsidRPr="003A507B">
        <w:rPr>
          <w:color w:val="000000" w:themeColor="text1"/>
        </w:rPr>
        <w:t xml:space="preserve"> a </w:t>
      </w:r>
      <w:r w:rsidR="000F3225" w:rsidRPr="003A507B">
        <w:rPr>
          <w:i/>
          <w:iCs/>
          <w:color w:val="000000" w:themeColor="text1"/>
        </w:rPr>
        <w:t>más</w:t>
      </w:r>
      <w:r w:rsidR="00710D93" w:rsidRPr="003A507B">
        <w:rPr>
          <w:i/>
          <w:iCs/>
          <w:color w:val="000000" w:themeColor="text1"/>
        </w:rPr>
        <w:t>-</w:t>
      </w:r>
      <w:r w:rsidR="000F3225" w:rsidRPr="003A507B">
        <w:rPr>
          <w:i/>
          <w:iCs/>
          <w:color w:val="000000" w:themeColor="text1"/>
        </w:rPr>
        <w:t>que</w:t>
      </w:r>
      <w:r w:rsidR="00710D93" w:rsidRPr="003A507B">
        <w:rPr>
          <w:i/>
          <w:iCs/>
          <w:color w:val="000000" w:themeColor="text1"/>
        </w:rPr>
        <w:t>-</w:t>
      </w:r>
      <w:r w:rsidR="000F3225" w:rsidRPr="003A507B">
        <w:rPr>
          <w:i/>
          <w:iCs/>
          <w:color w:val="000000" w:themeColor="text1"/>
        </w:rPr>
        <w:t>aditivos</w:t>
      </w:r>
      <w:r w:rsidR="000F3225" w:rsidRPr="003A507B">
        <w:rPr>
          <w:color w:val="000000" w:themeColor="text1"/>
        </w:rPr>
        <w:t xml:space="preserve"> en</w:t>
      </w:r>
      <w:r w:rsidR="00710D93" w:rsidRPr="003A507B">
        <w:rPr>
          <w:color w:val="000000" w:themeColor="text1"/>
        </w:rPr>
        <w:t xml:space="preserve"> </w:t>
      </w:r>
      <w:r w:rsidR="000F3225" w:rsidRPr="003A507B">
        <w:rPr>
          <w:color w:val="000000" w:themeColor="text1"/>
        </w:rPr>
        <w:t xml:space="preserve">la </w:t>
      </w:r>
      <w:r w:rsidR="00E31788" w:rsidRPr="003A507B">
        <w:rPr>
          <w:color w:val="000000" w:themeColor="text1"/>
        </w:rPr>
        <w:t>inactivación</w:t>
      </w:r>
      <w:r w:rsidR="00710D93" w:rsidRPr="003A507B">
        <w:rPr>
          <w:color w:val="000000" w:themeColor="text1"/>
        </w:rPr>
        <w:t xml:space="preserve"> (ciclos logarítmicos de reducción)</w:t>
      </w:r>
      <w:r w:rsidR="00E31788" w:rsidRPr="003A507B">
        <w:rPr>
          <w:color w:val="000000" w:themeColor="text1"/>
        </w:rPr>
        <w:t xml:space="preserve"> de </w:t>
      </w:r>
      <w:r w:rsidR="000F3225" w:rsidRPr="003A507B">
        <w:rPr>
          <w:color w:val="000000" w:themeColor="text1"/>
        </w:rPr>
        <w:t xml:space="preserve">los inóculos mixtos de levaduras (3,9) y </w:t>
      </w:r>
      <w:r w:rsidR="00E31788" w:rsidRPr="005B7C9C">
        <w:rPr>
          <w:i/>
          <w:color w:val="000000" w:themeColor="text1"/>
        </w:rPr>
        <w:t xml:space="preserve">Salmonella </w:t>
      </w:r>
      <w:proofErr w:type="spellStart"/>
      <w:r w:rsidR="00E31788" w:rsidRPr="005B7C9C">
        <w:rPr>
          <w:i/>
          <w:color w:val="000000" w:themeColor="text1"/>
        </w:rPr>
        <w:t>spp</w:t>
      </w:r>
      <w:proofErr w:type="spellEnd"/>
      <w:r w:rsidR="00E31788" w:rsidRPr="005B7C9C">
        <w:rPr>
          <w:i/>
          <w:color w:val="000000" w:themeColor="text1"/>
        </w:rPr>
        <w:t>.</w:t>
      </w:r>
      <w:r w:rsidR="00E31788" w:rsidRPr="003A507B">
        <w:rPr>
          <w:color w:val="000000" w:themeColor="text1"/>
        </w:rPr>
        <w:t xml:space="preserve"> </w:t>
      </w:r>
      <w:r w:rsidR="000F3225" w:rsidRPr="003A507B">
        <w:rPr>
          <w:color w:val="000000" w:themeColor="text1"/>
        </w:rPr>
        <w:t xml:space="preserve">(6,3) y </w:t>
      </w:r>
      <w:r w:rsidR="000F3225" w:rsidRPr="003A507B">
        <w:rPr>
          <w:i/>
          <w:iCs/>
          <w:color w:val="000000" w:themeColor="text1"/>
        </w:rPr>
        <w:t>sinérgicos</w:t>
      </w:r>
      <w:r w:rsidR="000F3225">
        <w:t xml:space="preserve">, en el caso de </w:t>
      </w:r>
      <w:r w:rsidR="000F3225">
        <w:rPr>
          <w:i/>
        </w:rPr>
        <w:t xml:space="preserve">E. </w:t>
      </w:r>
      <w:proofErr w:type="spellStart"/>
      <w:r w:rsidR="000F3225">
        <w:rPr>
          <w:i/>
        </w:rPr>
        <w:t>coli</w:t>
      </w:r>
      <w:proofErr w:type="spellEnd"/>
      <w:r w:rsidR="000F3225">
        <w:t xml:space="preserve"> (7,5). Los modelos de </w:t>
      </w:r>
      <w:r w:rsidR="000F3225">
        <w:rPr>
          <w:i/>
        </w:rPr>
        <w:t>Weibull</w:t>
      </w:r>
      <w:r w:rsidR="000F3225">
        <w:t xml:space="preserve"> </w:t>
      </w:r>
      <w:r w:rsidR="00DB3CD2">
        <w:t xml:space="preserve">y </w:t>
      </w:r>
      <w:proofErr w:type="spellStart"/>
      <w:r w:rsidR="000F3225">
        <w:rPr>
          <w:i/>
        </w:rPr>
        <w:t>Coroller</w:t>
      </w:r>
      <w:proofErr w:type="spellEnd"/>
      <w:r w:rsidR="000F3225">
        <w:t xml:space="preserve"> caracterizaron exitosamente la inactivación microbiana observad</w:t>
      </w:r>
      <w:r w:rsidR="00DB3CD2">
        <w:t>a</w:t>
      </w:r>
      <w:r w:rsidR="003A507B">
        <w:t xml:space="preserve"> </w:t>
      </w:r>
      <w:r w:rsidR="000F3225">
        <w:t>(R</w:t>
      </w:r>
      <w:r w:rsidR="000F3225">
        <w:rPr>
          <w:vertAlign w:val="superscript"/>
        </w:rPr>
        <w:t>2</w:t>
      </w:r>
      <w:r w:rsidR="000F3225">
        <w:rPr>
          <w:vertAlign w:val="subscript"/>
        </w:rPr>
        <w:t>ajust</w:t>
      </w:r>
      <w:r w:rsidR="000F3225">
        <w:t>:97-99%). Las distribucione</w:t>
      </w:r>
      <w:r w:rsidR="00BC789A">
        <w:t xml:space="preserve">s de frecuencias </w:t>
      </w:r>
      <w:proofErr w:type="spellStart"/>
      <w:r w:rsidR="000F3225">
        <w:t>weibullianas</w:t>
      </w:r>
      <w:proofErr w:type="spellEnd"/>
      <w:r w:rsidR="000F3225">
        <w:t xml:space="preserve"> evidenciaron</w:t>
      </w:r>
      <w:r w:rsidR="00BC789A">
        <w:t xml:space="preserve"> </w:t>
      </w:r>
      <w:r w:rsidR="00BC789A" w:rsidRPr="00DB4F0F">
        <w:rPr>
          <w:color w:val="000000" w:themeColor="text1"/>
        </w:rPr>
        <w:t xml:space="preserve">que </w:t>
      </w:r>
      <w:r w:rsidR="00710D93" w:rsidRPr="00DB4F0F">
        <w:rPr>
          <w:color w:val="000000" w:themeColor="text1"/>
        </w:rPr>
        <w:t>las curvas de inactivación</w:t>
      </w:r>
      <w:r w:rsidR="00BC789A" w:rsidRPr="00DB4F0F">
        <w:rPr>
          <w:color w:val="000000" w:themeColor="text1"/>
        </w:rPr>
        <w:t xml:space="preserve"> por </w:t>
      </w:r>
      <w:r w:rsidR="000F3225">
        <w:t xml:space="preserve">UV-C exhibieron moda con altos valores de media y varianza de muerte; mientras que las </w:t>
      </w:r>
      <w:r w:rsidR="000F3225" w:rsidRPr="00DB4F0F">
        <w:rPr>
          <w:color w:val="000000" w:themeColor="text1"/>
        </w:rPr>
        <w:t xml:space="preserve">correspondientes </w:t>
      </w:r>
      <w:proofErr w:type="gramStart"/>
      <w:r w:rsidR="00DB3CD2" w:rsidRPr="00DB4F0F">
        <w:rPr>
          <w:color w:val="000000" w:themeColor="text1"/>
        </w:rPr>
        <w:t>a</w:t>
      </w:r>
      <w:r w:rsidR="000F3225" w:rsidRPr="00DB4F0F">
        <w:rPr>
          <w:color w:val="000000" w:themeColor="text1"/>
        </w:rPr>
        <w:t xml:space="preserve">  UV</w:t>
      </w:r>
      <w:proofErr w:type="gramEnd"/>
      <w:r w:rsidR="000F3225">
        <w:t xml:space="preserve">-T estuvieron más sesgadas a la derecha y carecieron de moda, indicando una mayor efectividad </w:t>
      </w:r>
      <w:r w:rsidR="000F3225" w:rsidRPr="00DB4F0F">
        <w:rPr>
          <w:color w:val="000000" w:themeColor="text1"/>
        </w:rPr>
        <w:t xml:space="preserve">del </w:t>
      </w:r>
      <w:r w:rsidR="00DB3CD2" w:rsidRPr="00DB4F0F">
        <w:rPr>
          <w:color w:val="000000" w:themeColor="text1"/>
        </w:rPr>
        <w:t>tratamiento</w:t>
      </w:r>
      <w:r w:rsidR="000F3225" w:rsidRPr="00DB4F0F">
        <w:rPr>
          <w:color w:val="000000" w:themeColor="text1"/>
        </w:rPr>
        <w:t xml:space="preserve">. Asimismo, los parámetros de </w:t>
      </w:r>
      <w:proofErr w:type="spellStart"/>
      <w:r w:rsidR="000F3225" w:rsidRPr="00DB4F0F">
        <w:rPr>
          <w:i/>
          <w:color w:val="000000" w:themeColor="text1"/>
        </w:rPr>
        <w:t>Coroller</w:t>
      </w:r>
      <w:proofErr w:type="spellEnd"/>
      <w:r w:rsidR="000F3225" w:rsidRPr="00DB4F0F">
        <w:rPr>
          <w:color w:val="000000" w:themeColor="text1"/>
        </w:rPr>
        <w:t xml:space="preserve"> mostraron que el tratamiento </w:t>
      </w:r>
      <w:r w:rsidR="00DB3CD2" w:rsidRPr="00DB4F0F">
        <w:rPr>
          <w:color w:val="000000" w:themeColor="text1"/>
        </w:rPr>
        <w:t xml:space="preserve">UV-T </w:t>
      </w:r>
      <w:r w:rsidR="000F3225">
        <w:t xml:space="preserve">disminuyó notablemente </w:t>
      </w:r>
      <w:r w:rsidR="000F3225" w:rsidRPr="00DB3CD2">
        <w:t>el tiempo para reducir un orden la población más sensible al tratamiento (δ</w:t>
      </w:r>
      <w:r w:rsidR="000F3225" w:rsidRPr="00DB3CD2">
        <w:rPr>
          <w:vertAlign w:val="subscript"/>
        </w:rPr>
        <w:t>1: (</w:t>
      </w:r>
      <w:r w:rsidR="000F3225" w:rsidRPr="00DB3CD2">
        <w:t>1,9-4,0 min), respecto del tratamiento UV-C (δ</w:t>
      </w:r>
      <w:r w:rsidR="000F3225" w:rsidRPr="00DB3CD2">
        <w:rPr>
          <w:vertAlign w:val="subscript"/>
        </w:rPr>
        <w:t xml:space="preserve">1: </w:t>
      </w:r>
      <w:r w:rsidR="000F3225" w:rsidRPr="00DB3CD2">
        <w:t>3,0-6,2 min), mientras que el tiempo para reducir un orden la subpoblación más resistente (δ</w:t>
      </w:r>
      <w:r w:rsidR="000F3225" w:rsidRPr="00DB3CD2">
        <w:rPr>
          <w:vertAlign w:val="subscript"/>
        </w:rPr>
        <w:t>2</w:t>
      </w:r>
      <w:r w:rsidR="000F3225" w:rsidRPr="00DB3CD2">
        <w:t>)</w:t>
      </w:r>
      <w:r w:rsidR="000F3225" w:rsidRPr="00DB3CD2">
        <w:rPr>
          <w:vertAlign w:val="subscript"/>
        </w:rPr>
        <w:t xml:space="preserve"> </w:t>
      </w:r>
      <w:r w:rsidR="000F3225" w:rsidRPr="00DB3CD2">
        <w:t>fue sobreestimado por este modelo en la inactivación por UV-T debido la</w:t>
      </w:r>
      <w:r w:rsidR="000F3225">
        <w:t xml:space="preserve"> presencia de cola. Este estudio demuestra la potencialidad del uso de luz UV-C asistida en el procesamiento de un jugo de naranja turbio alcanzando una inactivación de 5 reducciones log requeridas por la FDA para </w:t>
      </w:r>
      <w:r w:rsidR="000F3225">
        <w:rPr>
          <w:i/>
        </w:rPr>
        <w:t xml:space="preserve">E. </w:t>
      </w:r>
      <w:proofErr w:type="spellStart"/>
      <w:r w:rsidR="000F3225">
        <w:rPr>
          <w:i/>
        </w:rPr>
        <w:t>coli</w:t>
      </w:r>
      <w:proofErr w:type="spellEnd"/>
      <w:r w:rsidR="000F3225">
        <w:t>. El modelado matemático evidenció diferencias en la efectividad del tratamiento UV-C simple y asistido.</w:t>
      </w:r>
    </w:p>
    <w:p w14:paraId="0000000B" w14:textId="77777777" w:rsidR="00472FF3" w:rsidRDefault="00472FF3">
      <w:pPr>
        <w:spacing w:after="0" w:line="240" w:lineRule="auto"/>
        <w:ind w:left="0" w:hanging="2"/>
      </w:pPr>
    </w:p>
    <w:p w14:paraId="0000000C" w14:textId="77777777" w:rsidR="00472FF3" w:rsidRDefault="000F3225">
      <w:pPr>
        <w:spacing w:after="0" w:line="240" w:lineRule="auto"/>
        <w:ind w:left="0" w:hanging="2"/>
      </w:pPr>
      <w:r>
        <w:t xml:space="preserve">Palabras Clave: luz UV-C, inóculos simples y compuestos, modelado matemático. </w:t>
      </w:r>
    </w:p>
    <w:sectPr w:rsidR="00472FF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1FC3" w14:textId="77777777" w:rsidR="00DC4C77" w:rsidRDefault="00DC4C7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D88065" w14:textId="77777777" w:rsidR="00DC4C77" w:rsidRDefault="00DC4C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F2E4" w14:textId="77777777" w:rsidR="00DC4C77" w:rsidRDefault="00DC4C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7D1033" w14:textId="77777777" w:rsidR="00DC4C77" w:rsidRDefault="00DC4C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472FF3" w:rsidRDefault="000F322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2A8F7B9" wp14:editId="67345EC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F3"/>
    <w:rsid w:val="000C6059"/>
    <w:rsid w:val="000F3225"/>
    <w:rsid w:val="00323335"/>
    <w:rsid w:val="0034325D"/>
    <w:rsid w:val="003A507B"/>
    <w:rsid w:val="004464C9"/>
    <w:rsid w:val="00472FF3"/>
    <w:rsid w:val="004844D1"/>
    <w:rsid w:val="00493BEE"/>
    <w:rsid w:val="004D1351"/>
    <w:rsid w:val="0054161C"/>
    <w:rsid w:val="0054797A"/>
    <w:rsid w:val="005A6D37"/>
    <w:rsid w:val="005B3C00"/>
    <w:rsid w:val="005B7C9C"/>
    <w:rsid w:val="00710D93"/>
    <w:rsid w:val="00823C13"/>
    <w:rsid w:val="008B0FE3"/>
    <w:rsid w:val="009928CC"/>
    <w:rsid w:val="00A43E66"/>
    <w:rsid w:val="00BC789A"/>
    <w:rsid w:val="00BF5D98"/>
    <w:rsid w:val="00D74D4B"/>
    <w:rsid w:val="00DB3CD2"/>
    <w:rsid w:val="00DB4F0F"/>
    <w:rsid w:val="00DC4C77"/>
    <w:rsid w:val="00E06EAF"/>
    <w:rsid w:val="00E108CA"/>
    <w:rsid w:val="00E31788"/>
    <w:rsid w:val="00F83D76"/>
    <w:rsid w:val="00FC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EA88"/>
  <w15:docId w15:val="{297928B8-0327-4E90-8A0C-FC97B4EA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C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1CC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1C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1CCE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1CCE"/>
    <w:rPr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CCE"/>
    <w:rPr>
      <w:rFonts w:ascii="Segoe UI" w:eastAsia="Arial" w:hAnsi="Segoe UI" w:cs="Segoe UI"/>
      <w:position w:val="-1"/>
      <w:sz w:val="18"/>
      <w:szCs w:val="18"/>
      <w:lang w:val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DD3563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9DA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9DA"/>
    <w:rPr>
      <w:rFonts w:ascii="Arial" w:eastAsia="Arial" w:hAnsi="Arial" w:cs="Arial"/>
      <w:b/>
      <w:bCs/>
      <w:position w:val="-1"/>
      <w:sz w:val="20"/>
      <w:szCs w:val="20"/>
      <w:lang w:val="es-A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00F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klqT/zXwdgc/M7JcWsHLWEV41w==">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Abel López</cp:lastModifiedBy>
  <cp:revision>2</cp:revision>
  <dcterms:created xsi:type="dcterms:W3CDTF">2022-08-26T16:18:00Z</dcterms:created>
  <dcterms:modified xsi:type="dcterms:W3CDTF">2022-08-26T16:18:00Z</dcterms:modified>
</cp:coreProperties>
</file>