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79FB" w14:textId="77777777" w:rsidR="00283724" w:rsidRDefault="0045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metabolitos bacterianos como biopreservantes de alimentos</w:t>
      </w:r>
    </w:p>
    <w:p w14:paraId="0DCF4942" w14:textId="77777777" w:rsidR="00283724" w:rsidRDefault="00283724">
      <w:pPr>
        <w:spacing w:after="0" w:line="240" w:lineRule="auto"/>
        <w:ind w:left="0" w:hanging="2"/>
        <w:jc w:val="center"/>
      </w:pPr>
    </w:p>
    <w:p w14:paraId="643A2FDB" w14:textId="77777777" w:rsidR="00283724" w:rsidRDefault="0045030B">
      <w:pPr>
        <w:spacing w:after="0" w:line="240" w:lineRule="auto"/>
        <w:ind w:left="0" w:hanging="2"/>
        <w:jc w:val="center"/>
      </w:pPr>
      <w:r>
        <w:t>Lopez Rivas DM</w:t>
      </w:r>
      <w:r w:rsidR="00B35AD3">
        <w:t xml:space="preserve"> (1), </w:t>
      </w:r>
      <w:r>
        <w:t>Alcocer JC</w:t>
      </w:r>
      <w:r w:rsidR="00B35AD3">
        <w:t xml:space="preserve"> (</w:t>
      </w:r>
      <w:r>
        <w:t>1,</w:t>
      </w:r>
      <w:r w:rsidR="00B35AD3">
        <w:t>2)</w:t>
      </w:r>
      <w:r>
        <w:t>, Audisio CM (2,3,4), Ibarguren C (1,2)</w:t>
      </w:r>
    </w:p>
    <w:p w14:paraId="274ADE52" w14:textId="77777777" w:rsidR="00283724" w:rsidRDefault="00283724">
      <w:pPr>
        <w:spacing w:after="0" w:line="240" w:lineRule="auto"/>
        <w:ind w:left="0" w:hanging="2"/>
        <w:jc w:val="center"/>
      </w:pPr>
    </w:p>
    <w:p w14:paraId="7E3FA9A1" w14:textId="77777777" w:rsidR="0045030B" w:rsidRPr="0045030B" w:rsidRDefault="0045030B" w:rsidP="0045030B">
      <w:pPr>
        <w:pStyle w:val="NormalWeb"/>
        <w:spacing w:before="0" w:beforeAutospacing="0" w:after="120" w:afterAutospacing="0"/>
        <w:ind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(1) Facultad de Ciencias de la Salud, Universidad Nacional de Salta, Av. Bolivia 5150, Salta Capital, Salta, Argentina.</w:t>
      </w:r>
    </w:p>
    <w:p w14:paraId="6B5B8E61" w14:textId="77777777" w:rsidR="0045030B" w:rsidRPr="0045030B" w:rsidRDefault="0045030B" w:rsidP="0045030B">
      <w:pPr>
        <w:pStyle w:val="NormalWeb"/>
        <w:spacing w:before="0" w:beforeAutospacing="0" w:after="20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(2) Instituto de Investigaciones para la Industria Química (INIQUI-CONICET-UNSa), Av. Bolivia 5150, Salta Capital, Salta, Argentina.</w:t>
      </w:r>
    </w:p>
    <w:p w14:paraId="32721A0C" w14:textId="77777777" w:rsidR="0045030B" w:rsidRPr="0045030B" w:rsidRDefault="0045030B" w:rsidP="0045030B">
      <w:pPr>
        <w:pStyle w:val="NormalWeb"/>
        <w:spacing w:before="0" w:beforeAutospacing="0" w:after="12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(3) Facultad de Ingeniería, Universidad Nacional de Salta, Av. Bolivia 5150, Salta Capital, Salta, Argentina.</w:t>
      </w:r>
    </w:p>
    <w:p w14:paraId="5E5E0D1C" w14:textId="77777777" w:rsidR="0045030B" w:rsidRPr="0045030B" w:rsidRDefault="0045030B" w:rsidP="00626428">
      <w:pPr>
        <w:pStyle w:val="NormalWeb"/>
        <w:spacing w:before="0" w:beforeAutospacing="0" w:after="200" w:afterAutospacing="0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(4) Facultad de Ciencias Exactas, Universidad Nacional de Salta, Av. Bolivia 5150, Salta Capital, Salta, Argentina.</w:t>
      </w:r>
    </w:p>
    <w:p w14:paraId="5929C157" w14:textId="37A5C058" w:rsidR="0045030B" w:rsidRDefault="00626428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7D24EA">
        <w:t>ibargurenc@gmail.com</w:t>
      </w:r>
    </w:p>
    <w:p w14:paraId="31EAFC1A" w14:textId="77777777" w:rsidR="00283724" w:rsidRDefault="00B35AD3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EC92211" w14:textId="77777777" w:rsidR="00283724" w:rsidRPr="005A2B51" w:rsidRDefault="004661DB" w:rsidP="00F473FC">
      <w:pPr>
        <w:spacing w:after="0" w:line="240" w:lineRule="auto"/>
        <w:ind w:left="0" w:hanging="2"/>
      </w:pPr>
      <w:r w:rsidRPr="004661DB">
        <w:t xml:space="preserve">Diferentes </w:t>
      </w:r>
      <w:r w:rsidR="00F473FC">
        <w:t xml:space="preserve">cepas bacterianas </w:t>
      </w:r>
      <w:r w:rsidRPr="004661DB">
        <w:t xml:space="preserve">pertenecientes a los géneros </w:t>
      </w:r>
      <w:r w:rsidRPr="0045030B">
        <w:rPr>
          <w:i/>
        </w:rPr>
        <w:t>Lactobacillus</w:t>
      </w:r>
      <w:r w:rsidRPr="004661DB">
        <w:t>,</w:t>
      </w:r>
      <w:r w:rsidRPr="0045030B">
        <w:rPr>
          <w:i/>
        </w:rPr>
        <w:t xml:space="preserve"> Enterococcus</w:t>
      </w:r>
      <w:r w:rsidRPr="004661DB">
        <w:t xml:space="preserve"> y </w:t>
      </w:r>
      <w:r w:rsidRPr="0045030B">
        <w:rPr>
          <w:i/>
        </w:rPr>
        <w:t>Bacillus</w:t>
      </w:r>
      <w:r w:rsidRPr="004661DB">
        <w:t xml:space="preserve"> se caracterizan por sintetizar una gran variedad de metabolitos</w:t>
      </w:r>
      <w:r w:rsidR="0045030B">
        <w:t xml:space="preserve"> con propiedades antimicrobianas (</w:t>
      </w:r>
      <w:r w:rsidRPr="004661DB">
        <w:t>ácidos orgánicos, bacteriocinas, enzimas, lipopéptidos, etc</w:t>
      </w:r>
      <w:r w:rsidR="0045030B">
        <w:t xml:space="preserve">). </w:t>
      </w:r>
      <w:r w:rsidR="0045030B" w:rsidRPr="0045030B">
        <w:t>La incorporación de</w:t>
      </w:r>
      <w:r w:rsidR="0045030B">
        <w:t xml:space="preserve"> estos</w:t>
      </w:r>
      <w:r w:rsidR="0045030B" w:rsidRPr="0045030B">
        <w:t xml:space="preserve"> agentes en recubrimientos y películas de polisacáridos constituyen una alternativa para retardar o inhibir el crecimiento de </w:t>
      </w:r>
      <w:r w:rsidR="00FE7C10">
        <w:t>micro</w:t>
      </w:r>
      <w:r w:rsidR="00666D25">
        <w:t>o</w:t>
      </w:r>
      <w:r w:rsidR="00FE7C10">
        <w:t>rganismos indeseables</w:t>
      </w:r>
      <w:r w:rsidR="0045030B" w:rsidRPr="0045030B">
        <w:t xml:space="preserve"> sobre una amplia variedad de alimentos</w:t>
      </w:r>
      <w:r w:rsidR="0045030B">
        <w:t xml:space="preserve">. </w:t>
      </w:r>
      <w:r w:rsidR="00076D3F">
        <w:t xml:space="preserve">El objetivo de este trabajo fue evaluar el efecto inhibitorio de una mezcla de sobrenadantes libres de células (SLC) de </w:t>
      </w:r>
      <w:r w:rsidR="00F473FC" w:rsidRPr="00F473FC">
        <w:rPr>
          <w:i/>
        </w:rPr>
        <w:t>Ligilactobacillus salivarius</w:t>
      </w:r>
      <w:r w:rsidR="00F473FC">
        <w:t xml:space="preserve"> A3iob, </w:t>
      </w:r>
      <w:r w:rsidR="00F473FC" w:rsidRPr="00F473FC">
        <w:rPr>
          <w:i/>
        </w:rPr>
        <w:t>Enterococcus avium</w:t>
      </w:r>
      <w:r w:rsidR="00F473FC">
        <w:t xml:space="preserve"> DSMZ17511 y </w:t>
      </w:r>
      <w:r w:rsidR="00F473FC" w:rsidRPr="00F473FC">
        <w:rPr>
          <w:i/>
        </w:rPr>
        <w:t>Bacillus amyloliquefaciens</w:t>
      </w:r>
      <w:r w:rsidR="00F473FC">
        <w:t xml:space="preserve"> BacCA1</w:t>
      </w:r>
      <w:r w:rsidR="00076D3F">
        <w:t>inmovilizados en una matriz de xantano, como posible recubrimiento bioprotector de alimentos.</w:t>
      </w:r>
      <w:r w:rsidR="00A35706">
        <w:t xml:space="preserve"> Se trabajó con una mezcla 1:1:1 de SLC de cada una de las cepas, que fue inmovilizada en una matriz de </w:t>
      </w:r>
      <w:r w:rsidR="00A35706" w:rsidRPr="00666D25">
        <w:t>xantano (</w:t>
      </w:r>
      <w:r w:rsidR="00666D25" w:rsidRPr="00666D25">
        <w:t>0,1% p/</w:t>
      </w:r>
      <w:r w:rsidR="00666D25">
        <w:t>p</w:t>
      </w:r>
      <w:r w:rsidR="00666D25" w:rsidRPr="00666D25">
        <w:t xml:space="preserve"> con 0,05% p/</w:t>
      </w:r>
      <w:r w:rsidR="00666D25">
        <w:t>p</w:t>
      </w:r>
      <w:r w:rsidR="00666D25" w:rsidRPr="00666D25">
        <w:t xml:space="preserve"> alcohol láurico etoxilado como tensioactivo</w:t>
      </w:r>
      <w:r w:rsidR="00A35706" w:rsidRPr="00666D25">
        <w:t>).</w:t>
      </w:r>
      <w:r w:rsidR="00A35706">
        <w:t xml:space="preserve"> El efecto antimicrobiano de este recubrimiento activo se evaluó a través de la técnica de contacto directo frente a tres cepas patógenas de alimentos, </w:t>
      </w:r>
      <w:r w:rsidR="00A35706" w:rsidRPr="00A35706">
        <w:rPr>
          <w:i/>
        </w:rPr>
        <w:t>Listeria monocytogenes</w:t>
      </w:r>
      <w:r w:rsidR="00A35706">
        <w:t xml:space="preserve"> 99/360, </w:t>
      </w:r>
      <w:r w:rsidR="00A35706">
        <w:rPr>
          <w:i/>
        </w:rPr>
        <w:t>St</w:t>
      </w:r>
      <w:r w:rsidR="00A35706" w:rsidRPr="00A35706">
        <w:rPr>
          <w:i/>
        </w:rPr>
        <w:t xml:space="preserve">aphylococcus aureus </w:t>
      </w:r>
      <w:r w:rsidR="00A35706">
        <w:t xml:space="preserve">155 y </w:t>
      </w:r>
      <w:r w:rsidR="00A35706" w:rsidRPr="00A35706">
        <w:rPr>
          <w:i/>
        </w:rPr>
        <w:t xml:space="preserve">Escherichia </w:t>
      </w:r>
      <w:r w:rsidR="00A35706" w:rsidRPr="00FE7C10">
        <w:rPr>
          <w:i/>
        </w:rPr>
        <w:t>coli</w:t>
      </w:r>
      <w:r w:rsidR="00A35706" w:rsidRPr="00FE7C10">
        <w:t xml:space="preserve"> 3069.</w:t>
      </w:r>
      <w:r w:rsidR="005A2B51">
        <w:t xml:space="preserve"> En una microplaca de 96 pocillos se pusieron en contacto</w:t>
      </w:r>
      <w:r w:rsidR="005A2B51" w:rsidRPr="005A2B51">
        <w:t xml:space="preserve">, </w:t>
      </w:r>
      <w:r w:rsidR="00666D25">
        <w:t>(</w:t>
      </w:r>
      <w:r w:rsidR="005A2B51" w:rsidRPr="005A2B51">
        <w:t>relación 1/10</w:t>
      </w:r>
      <w:r w:rsidR="00666D25">
        <w:t>,</w:t>
      </w:r>
      <w:r w:rsidR="005A2B51" w:rsidRPr="005A2B51">
        <w:t xml:space="preserve"> 37ºC</w:t>
      </w:r>
      <w:r w:rsidR="00666D25">
        <w:t>)</w:t>
      </w:r>
      <w:r w:rsidR="005A2B51" w:rsidRPr="005A2B51">
        <w:t xml:space="preserve"> la </w:t>
      </w:r>
      <w:r w:rsidR="005A2B51">
        <w:t xml:space="preserve">solución antimicrobiana </w:t>
      </w:r>
      <w:r w:rsidR="005A2B51" w:rsidRPr="005A2B51">
        <w:t xml:space="preserve">con </w:t>
      </w:r>
      <w:r w:rsidR="005A2B51">
        <w:t>una suspensión de</w:t>
      </w:r>
      <w:r w:rsidR="005A2B51" w:rsidRPr="005A2B51">
        <w:t xml:space="preserve"> </w:t>
      </w:r>
      <w:r w:rsidR="00FE7C10">
        <w:t xml:space="preserve">cada </w:t>
      </w:r>
      <w:r w:rsidR="005A2B51" w:rsidRPr="005A2B51">
        <w:t xml:space="preserve">cepa indicadora </w:t>
      </w:r>
      <w:r w:rsidR="00463629">
        <w:t>(</w:t>
      </w:r>
      <w:r w:rsidR="005A2B51" w:rsidRPr="005A2B51">
        <w:rPr>
          <w:i/>
        </w:rPr>
        <w:t>ca</w:t>
      </w:r>
      <w:r w:rsidR="005A2B51" w:rsidRPr="005A2B51">
        <w:t>. 10</w:t>
      </w:r>
      <w:r w:rsidR="007C4889" w:rsidRPr="007C4889">
        <w:rPr>
          <w:vertAlign w:val="superscript"/>
        </w:rPr>
        <w:t>6</w:t>
      </w:r>
      <w:r w:rsidR="005A2B51" w:rsidRPr="005A2B51">
        <w:t xml:space="preserve"> ufc/mL</w:t>
      </w:r>
      <w:r w:rsidR="00463629">
        <w:t>)</w:t>
      </w:r>
      <w:r w:rsidR="00666D25">
        <w:t>, preparada</w:t>
      </w:r>
      <w:r w:rsidR="005A2B51" w:rsidRPr="005A2B51">
        <w:t xml:space="preserve"> con células </w:t>
      </w:r>
      <w:r w:rsidR="00666D25" w:rsidRPr="005A2B51">
        <w:t xml:space="preserve">recuperadas por centrifugación (5.000 </w:t>
      </w:r>
      <w:r w:rsidR="00666D25" w:rsidRPr="007C4889">
        <w:rPr>
          <w:i/>
        </w:rPr>
        <w:t>g</w:t>
      </w:r>
      <w:r w:rsidR="00666D25">
        <w:t>,</w:t>
      </w:r>
      <w:r w:rsidR="00666D25" w:rsidRPr="005A2B51">
        <w:t>10 min</w:t>
      </w:r>
      <w:r w:rsidR="00666D25">
        <w:t>,</w:t>
      </w:r>
      <w:r w:rsidR="00666D25" w:rsidRPr="005A2B51">
        <w:t xml:space="preserve"> 4ºC)</w:t>
      </w:r>
      <w:r w:rsidR="005A2B51" w:rsidRPr="005A2B51">
        <w:t xml:space="preserve"> de cultivos</w:t>
      </w:r>
      <w:r w:rsidR="00666D25">
        <w:t xml:space="preserve"> de 16 h crecidos en caldo BHI</w:t>
      </w:r>
      <w:r w:rsidR="005A2B51" w:rsidRPr="005A2B51">
        <w:t xml:space="preserve">. </w:t>
      </w:r>
      <w:r w:rsidR="00CF3051">
        <w:t xml:space="preserve">Se analizaron los siguientes sistemas: control en agua peptona (AP), control xantano (X), mezcla antimicrobiana (M), mezcla antimicrobiana/xantano (M+X), manteniendo las diluciones/proporciones de antimicrobiano o xantano en cada caso. Se determinó la sobrevida de cada patógeno </w:t>
      </w:r>
      <w:r w:rsidR="00A077C3">
        <w:t>durante 24 h, mediante</w:t>
      </w:r>
      <w:r w:rsidR="005A2B51" w:rsidRPr="005A2B51">
        <w:t xml:space="preserve"> recuento en placa</w:t>
      </w:r>
      <w:r w:rsidR="00FE7C10">
        <w:t>s utilizando agar BHI</w:t>
      </w:r>
      <w:r w:rsidR="00A649D4">
        <w:t xml:space="preserve"> e incubación a</w:t>
      </w:r>
      <w:r w:rsidR="005A2B51" w:rsidRPr="005A2B51">
        <w:t xml:space="preserve"> 37ºC durante 24 h.</w:t>
      </w:r>
      <w:r w:rsidR="00A649D4">
        <w:t xml:space="preserve"> Cada curva de sobrevida se determinó por duplicado. </w:t>
      </w:r>
      <w:r w:rsidR="00DA482B">
        <w:t xml:space="preserve">La mayor inhibición de la mezcla de SLC se observó para </w:t>
      </w:r>
      <w:r w:rsidR="00DA482B" w:rsidRPr="00A077C3">
        <w:rPr>
          <w:i/>
        </w:rPr>
        <w:t>L. monocytogenes</w:t>
      </w:r>
      <w:r w:rsidR="00DA482B">
        <w:t xml:space="preserve"> 99/360; la viabilidad de la cepa disminuyó para los sistemas M y M+X </w:t>
      </w:r>
      <w:r w:rsidR="00A077C3">
        <w:t xml:space="preserve">desde el inicio del contacto de </w:t>
      </w:r>
      <w:r w:rsidR="00A077C3" w:rsidRPr="00A077C3">
        <w:rPr>
          <w:i/>
        </w:rPr>
        <w:t>ca.</w:t>
      </w:r>
      <w:r w:rsidR="00A077C3">
        <w:t xml:space="preserve"> 6 log ufc/ml (0 h) a valores &lt;2</w:t>
      </w:r>
      <w:r w:rsidR="00D37F35">
        <w:t xml:space="preserve"> log ufc/mL </w:t>
      </w:r>
      <w:r w:rsidR="00FE7C10">
        <w:t>luego de las 15 h,</w:t>
      </w:r>
      <w:r w:rsidR="00D37F35">
        <w:t xml:space="preserve"> mientras que los controles (AP y X) man</w:t>
      </w:r>
      <w:r w:rsidR="00FE7C10">
        <w:t>tuvieron una viabilidad entre 7,</w:t>
      </w:r>
      <w:r w:rsidR="00D37F35">
        <w:t xml:space="preserve">5-9 log ufc/mL durante todo el ensayo. </w:t>
      </w:r>
      <w:r w:rsidR="00CC34A9">
        <w:t xml:space="preserve">Para </w:t>
      </w:r>
      <w:r w:rsidR="00CC34A9" w:rsidRPr="00CC34A9">
        <w:rPr>
          <w:i/>
        </w:rPr>
        <w:t>S. aureus</w:t>
      </w:r>
      <w:r w:rsidR="00CC34A9">
        <w:t xml:space="preserve"> 155 también se observó una inhibición tanto de la mezcla de SLC libre como soportada, y la viabilidad de la cepa se mantuvo para ambos sistemas (M, X+M) </w:t>
      </w:r>
      <w:r w:rsidR="00CC34A9" w:rsidRPr="00DA482B">
        <w:rPr>
          <w:i/>
        </w:rPr>
        <w:t>ca</w:t>
      </w:r>
      <w:r w:rsidR="00CC34A9">
        <w:t>. 6-7 log ufc/mL, 2</w:t>
      </w:r>
      <w:r w:rsidR="00F473FC">
        <w:t xml:space="preserve"> ó</w:t>
      </w:r>
      <w:r w:rsidR="00CC34A9">
        <w:t xml:space="preserve">rdenes logarítmicos por debajo de la viabilidad de ambos controles </w:t>
      </w:r>
      <w:r w:rsidR="00CC34A9">
        <w:lastRenderedPageBreak/>
        <w:t>(AP, X).</w:t>
      </w:r>
      <w:r w:rsidR="00187B37">
        <w:t xml:space="preserve"> Por último, </w:t>
      </w:r>
      <w:r w:rsidR="00463629">
        <w:t xml:space="preserve">para </w:t>
      </w:r>
      <w:r w:rsidR="00187B37" w:rsidRPr="00FE7C10">
        <w:rPr>
          <w:i/>
        </w:rPr>
        <w:t>E. coli</w:t>
      </w:r>
      <w:r w:rsidR="00FE7C10" w:rsidRPr="00FE7C10">
        <w:t xml:space="preserve"> 3069 </w:t>
      </w:r>
      <w:r w:rsidR="00463629">
        <w:t>se observó un efecto bacteriostático</w:t>
      </w:r>
      <w:r w:rsidR="00FE7C10">
        <w:t xml:space="preserve"> por la mezcla de SLC probada</w:t>
      </w:r>
      <w:r w:rsidR="00DA482B">
        <w:t>;</w:t>
      </w:r>
      <w:r w:rsidR="00463629">
        <w:t xml:space="preserve"> los</w:t>
      </w:r>
      <w:r w:rsidR="00FE7C10">
        <w:t xml:space="preserve"> sistemas M y M+X </w:t>
      </w:r>
      <w:r w:rsidR="00463629">
        <w:t xml:space="preserve">mantuvieron recuentos </w:t>
      </w:r>
      <w:r w:rsidR="00463629" w:rsidRPr="00463629">
        <w:rPr>
          <w:i/>
        </w:rPr>
        <w:t>ca.</w:t>
      </w:r>
      <w:r w:rsidR="00463629">
        <w:t xml:space="preserve"> 7 log ufc/mL, con una inhi</w:t>
      </w:r>
      <w:r w:rsidR="00FE7C10">
        <w:t>bición de 1 orden log en la viabilidad del patógeno respecto a los controles</w:t>
      </w:r>
      <w:r w:rsidR="00DA482B">
        <w:t xml:space="preserve"> (AP, X)</w:t>
      </w:r>
      <w:r w:rsidR="00463629">
        <w:t xml:space="preserve"> (</w:t>
      </w:r>
      <w:r w:rsidR="00463629" w:rsidRPr="00463629">
        <w:rPr>
          <w:i/>
        </w:rPr>
        <w:t>ca.</w:t>
      </w:r>
      <w:r w:rsidR="00463629">
        <w:t xml:space="preserve"> 8 log ufc/mL)</w:t>
      </w:r>
      <w:r w:rsidR="00FE7C10">
        <w:t xml:space="preserve">, que incrementó a </w:t>
      </w:r>
      <w:r w:rsidR="00463629">
        <w:t>1,5</w:t>
      </w:r>
      <w:r w:rsidR="00FE7C10">
        <w:t xml:space="preserve"> órdenes de diferencia luego de 24 h</w:t>
      </w:r>
      <w:r w:rsidR="00E2570B">
        <w:t>. En todos los casos se observó un efecto inhibitorio que se mantuvo al soportar la matriz de xantano en med</w:t>
      </w:r>
      <w:r w:rsidR="00FE7C10">
        <w:t>i</w:t>
      </w:r>
      <w:r w:rsidR="00E2570B">
        <w:t xml:space="preserve">o acuoso. La mezcla de SLC probada resultaría efectiva como biopreservante para el control de estos tres patógenos en </w:t>
      </w:r>
      <w:r w:rsidR="00FE7C10">
        <w:t xml:space="preserve">matrices </w:t>
      </w:r>
      <w:r w:rsidR="00E2570B">
        <w:t>aliment</w:t>
      </w:r>
      <w:r w:rsidR="00FE7C10">
        <w:t>arias compatibles</w:t>
      </w:r>
      <w:r w:rsidR="00447124">
        <w:t xml:space="preserve"> con e</w:t>
      </w:r>
      <w:r w:rsidR="00666D25">
        <w:t>ste</w:t>
      </w:r>
      <w:r w:rsidR="00447124">
        <w:t xml:space="preserve"> recubrimiento </w:t>
      </w:r>
      <w:r w:rsidR="00666D25">
        <w:t>activo</w:t>
      </w:r>
      <w:r w:rsidR="00FE7C10">
        <w:t>.</w:t>
      </w:r>
    </w:p>
    <w:p w14:paraId="652CBE5D" w14:textId="77777777" w:rsidR="00283724" w:rsidRDefault="00283724">
      <w:pPr>
        <w:spacing w:after="0" w:line="240" w:lineRule="auto"/>
        <w:ind w:left="0" w:hanging="2"/>
      </w:pPr>
    </w:p>
    <w:p w14:paraId="008FEDF9" w14:textId="56297856" w:rsidR="0045030B" w:rsidRDefault="0045030B" w:rsidP="0045030B">
      <w:pPr>
        <w:spacing w:after="0" w:line="240" w:lineRule="auto"/>
        <w:ind w:left="0" w:hanging="2"/>
      </w:pPr>
      <w:r>
        <w:t xml:space="preserve">Palabras Clave: </w:t>
      </w:r>
      <w:r w:rsidR="005152E7">
        <w:t>antimicrobianos</w:t>
      </w:r>
      <w:r w:rsidR="00823BB9">
        <w:t xml:space="preserve"> naturales</w:t>
      </w:r>
      <w:bookmarkStart w:id="0" w:name="_GoBack"/>
      <w:bookmarkEnd w:id="0"/>
      <w:r w:rsidR="00823BB9">
        <w:t>, bioconser</w:t>
      </w:r>
      <w:r w:rsidR="005A2B51">
        <w:t>va</w:t>
      </w:r>
      <w:r w:rsidR="005152E7">
        <w:t>ción</w:t>
      </w:r>
      <w:r w:rsidR="00823BB9">
        <w:t xml:space="preserve"> alimentaria</w:t>
      </w:r>
      <w:r w:rsidR="005A2B51">
        <w:t>, recubrimientos activos</w:t>
      </w:r>
    </w:p>
    <w:sectPr w:rsidR="004503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2BB" w16cex:dateUtc="2022-08-0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7185D" w16cid:durableId="269392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5832" w14:textId="77777777" w:rsidR="00B84D7A" w:rsidRDefault="00B84D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9F72D3" w14:textId="77777777" w:rsidR="00B84D7A" w:rsidRDefault="00B84D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C328" w14:textId="77777777" w:rsidR="00B84D7A" w:rsidRDefault="00B84D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6DF817" w14:textId="77777777" w:rsidR="00B84D7A" w:rsidRDefault="00B84D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72E1" w14:textId="77777777" w:rsidR="00283724" w:rsidRDefault="00B35A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FF60A2D" wp14:editId="2CF141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4"/>
    <w:rsid w:val="000671DA"/>
    <w:rsid w:val="00076D3F"/>
    <w:rsid w:val="000813E3"/>
    <w:rsid w:val="00187B37"/>
    <w:rsid w:val="00283724"/>
    <w:rsid w:val="00447124"/>
    <w:rsid w:val="0045030B"/>
    <w:rsid w:val="00463629"/>
    <w:rsid w:val="004661DB"/>
    <w:rsid w:val="005152E7"/>
    <w:rsid w:val="0056185B"/>
    <w:rsid w:val="005A2B51"/>
    <w:rsid w:val="00626428"/>
    <w:rsid w:val="00666D25"/>
    <w:rsid w:val="006F279E"/>
    <w:rsid w:val="007C4889"/>
    <w:rsid w:val="007D24EA"/>
    <w:rsid w:val="007F0B25"/>
    <w:rsid w:val="00823BB9"/>
    <w:rsid w:val="008D47B9"/>
    <w:rsid w:val="009A1258"/>
    <w:rsid w:val="00A077C3"/>
    <w:rsid w:val="00A35706"/>
    <w:rsid w:val="00A649D4"/>
    <w:rsid w:val="00B35AD3"/>
    <w:rsid w:val="00B84D7A"/>
    <w:rsid w:val="00C23428"/>
    <w:rsid w:val="00CC34A9"/>
    <w:rsid w:val="00CF3051"/>
    <w:rsid w:val="00D37F35"/>
    <w:rsid w:val="00D94120"/>
    <w:rsid w:val="00DA482B"/>
    <w:rsid w:val="00E2570B"/>
    <w:rsid w:val="00E7455D"/>
    <w:rsid w:val="00F473F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6210"/>
  <w15:docId w15:val="{589A7849-5B85-4C1A-978E-B96682A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30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64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D2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4E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4E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</cp:lastModifiedBy>
  <cp:revision>2</cp:revision>
  <dcterms:created xsi:type="dcterms:W3CDTF">2022-08-23T12:49:00Z</dcterms:created>
  <dcterms:modified xsi:type="dcterms:W3CDTF">2022-08-23T12:49:00Z</dcterms:modified>
</cp:coreProperties>
</file>