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E02F1" w:rsidRDefault="00000000">
      <w:pPr>
        <w:pBdr>
          <w:top w:val="nil"/>
          <w:left w:val="nil"/>
          <w:bottom w:val="nil"/>
          <w:right w:val="nil"/>
          <w:between w:val="nil"/>
        </w:pBdr>
        <w:spacing w:after="0" w:line="240" w:lineRule="auto"/>
        <w:ind w:left="0" w:hanging="2"/>
        <w:jc w:val="center"/>
        <w:rPr>
          <w:b/>
          <w:color w:val="000000"/>
        </w:rPr>
      </w:pPr>
      <w:r>
        <w:rPr>
          <w:b/>
          <w:color w:val="000000"/>
        </w:rPr>
        <w:t xml:space="preserve">Fermentación de un derivado </w:t>
      </w:r>
      <w:proofErr w:type="spellStart"/>
      <w:r>
        <w:rPr>
          <w:b/>
        </w:rPr>
        <w:t>desproteinizado</w:t>
      </w:r>
      <w:proofErr w:type="spellEnd"/>
      <w:r>
        <w:rPr>
          <w:b/>
          <w:color w:val="000000"/>
        </w:rPr>
        <w:t xml:space="preserve"> del suero lácteo con </w:t>
      </w:r>
      <w:r>
        <w:rPr>
          <w:b/>
        </w:rPr>
        <w:t>gránulos de</w:t>
      </w:r>
      <w:r>
        <w:rPr>
          <w:b/>
          <w:color w:val="000000"/>
        </w:rPr>
        <w:t xml:space="preserve"> kéfir</w:t>
      </w:r>
    </w:p>
    <w:p w14:paraId="00000002" w14:textId="77777777" w:rsidR="009E02F1" w:rsidRDefault="009E02F1">
      <w:pPr>
        <w:pBdr>
          <w:top w:val="nil"/>
          <w:left w:val="nil"/>
          <w:bottom w:val="nil"/>
          <w:right w:val="nil"/>
          <w:between w:val="nil"/>
        </w:pBdr>
        <w:spacing w:after="0" w:line="240" w:lineRule="auto"/>
        <w:ind w:left="0" w:hanging="2"/>
        <w:jc w:val="center"/>
        <w:rPr>
          <w:color w:val="000000"/>
        </w:rPr>
      </w:pPr>
    </w:p>
    <w:p w14:paraId="00000003" w14:textId="77777777" w:rsidR="009E02F1" w:rsidRPr="00A37163" w:rsidRDefault="00000000">
      <w:pPr>
        <w:pBdr>
          <w:top w:val="nil"/>
          <w:left w:val="nil"/>
          <w:bottom w:val="nil"/>
          <w:right w:val="nil"/>
          <w:between w:val="nil"/>
        </w:pBdr>
        <w:spacing w:after="0" w:line="240" w:lineRule="auto"/>
        <w:ind w:left="0" w:hanging="2"/>
        <w:jc w:val="center"/>
        <w:rPr>
          <w:color w:val="000000"/>
          <w:lang w:val="en-US"/>
        </w:rPr>
      </w:pPr>
      <w:r w:rsidRPr="00A37163">
        <w:rPr>
          <w:color w:val="000000"/>
          <w:lang w:val="en-US"/>
        </w:rPr>
        <w:t>Briggiler A (1), Bessone G (1, 2), Baldor S (1, 3), Parmigiani M (1, 3), López DN (1,3), Spelzini D (1, 2, 3), Boeris V (1, 2, 3)</w:t>
      </w:r>
    </w:p>
    <w:p w14:paraId="00000004" w14:textId="77777777" w:rsidR="009E02F1" w:rsidRPr="00A37163" w:rsidRDefault="009E02F1">
      <w:pPr>
        <w:pBdr>
          <w:top w:val="nil"/>
          <w:left w:val="nil"/>
          <w:bottom w:val="nil"/>
          <w:right w:val="nil"/>
          <w:between w:val="nil"/>
        </w:pBdr>
        <w:spacing w:after="0" w:line="240" w:lineRule="auto"/>
        <w:ind w:left="0" w:hanging="2"/>
        <w:jc w:val="center"/>
        <w:rPr>
          <w:color w:val="000000"/>
          <w:lang w:val="en-US"/>
        </w:rPr>
      </w:pPr>
    </w:p>
    <w:p w14:paraId="00000005" w14:textId="77777777" w:rsidR="009E02F1" w:rsidRDefault="00000000">
      <w:pPr>
        <w:pBdr>
          <w:top w:val="nil"/>
          <w:left w:val="nil"/>
          <w:bottom w:val="nil"/>
          <w:right w:val="nil"/>
          <w:between w:val="nil"/>
        </w:pBdr>
        <w:spacing w:after="120" w:line="240" w:lineRule="auto"/>
        <w:ind w:left="0" w:hanging="2"/>
        <w:jc w:val="left"/>
        <w:rPr>
          <w:color w:val="000000"/>
        </w:rPr>
      </w:pPr>
      <w:r>
        <w:rPr>
          <w:color w:val="000000"/>
        </w:rPr>
        <w:t xml:space="preserve">(1) Universidad Nacional de Rosario, Facultad de Ciencias Bioquímicas y Farmacéuticas, Área Fisicoquímica. Suipacha 570, Rosario, Santa Fe, Argentina </w:t>
      </w:r>
    </w:p>
    <w:p w14:paraId="00000006" w14:textId="77777777" w:rsidR="009E02F1" w:rsidRDefault="00000000">
      <w:pPr>
        <w:pBdr>
          <w:top w:val="nil"/>
          <w:left w:val="nil"/>
          <w:bottom w:val="nil"/>
          <w:right w:val="nil"/>
          <w:between w:val="nil"/>
        </w:pBdr>
        <w:spacing w:line="240" w:lineRule="auto"/>
        <w:ind w:left="0" w:hanging="2"/>
        <w:jc w:val="left"/>
        <w:rPr>
          <w:color w:val="000000"/>
        </w:rPr>
      </w:pPr>
      <w:r>
        <w:rPr>
          <w:color w:val="000000"/>
        </w:rPr>
        <w:t>(2) Universidad Católica Argentina, Facultad de Química e Ingeniería del Rosario. Pellegrini 3314, Rosario, Santa Fe, Argentina</w:t>
      </w:r>
    </w:p>
    <w:p w14:paraId="00000007" w14:textId="77777777" w:rsidR="009E02F1" w:rsidRDefault="00000000">
      <w:pPr>
        <w:pBdr>
          <w:top w:val="nil"/>
          <w:left w:val="nil"/>
          <w:bottom w:val="nil"/>
          <w:right w:val="nil"/>
          <w:between w:val="nil"/>
        </w:pBdr>
        <w:spacing w:line="240" w:lineRule="auto"/>
        <w:ind w:left="0" w:hanging="2"/>
        <w:jc w:val="left"/>
        <w:rPr>
          <w:color w:val="000000"/>
        </w:rPr>
      </w:pPr>
      <w:r>
        <w:rPr>
          <w:color w:val="000000"/>
        </w:rPr>
        <w:t xml:space="preserve">(3) </w:t>
      </w:r>
      <w:sdt>
        <w:sdtPr>
          <w:tag w:val="goog_rdk_0"/>
          <w:id w:val="308984220"/>
        </w:sdtPr>
        <w:sdtContent>
          <w:commentRangeStart w:id="0"/>
        </w:sdtContent>
      </w:sdt>
      <w:r>
        <w:rPr>
          <w:color w:val="000000"/>
        </w:rPr>
        <w:t>CONICET, CCT</w:t>
      </w:r>
      <w:commentRangeEnd w:id="0"/>
      <w:r>
        <w:commentReference w:id="0"/>
      </w:r>
      <w:r>
        <w:rPr>
          <w:color w:val="000000"/>
        </w:rPr>
        <w:t xml:space="preserve"> Rosario.</w:t>
      </w:r>
    </w:p>
    <w:p w14:paraId="00000008" w14:textId="77777777" w:rsidR="009E02F1" w:rsidRDefault="00000000">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ani.briggiler@gmail.com  </w:t>
      </w:r>
      <w:r>
        <w:rPr>
          <w:color w:val="000000"/>
        </w:rPr>
        <w:tab/>
      </w:r>
    </w:p>
    <w:p w14:paraId="00000009" w14:textId="77777777" w:rsidR="009E02F1" w:rsidRDefault="009E02F1">
      <w:pPr>
        <w:pBdr>
          <w:top w:val="nil"/>
          <w:left w:val="nil"/>
          <w:bottom w:val="nil"/>
          <w:right w:val="nil"/>
          <w:between w:val="nil"/>
        </w:pBdr>
        <w:spacing w:after="0" w:line="240" w:lineRule="auto"/>
        <w:ind w:left="0" w:hanging="2"/>
        <w:rPr>
          <w:color w:val="000000"/>
        </w:rPr>
      </w:pPr>
    </w:p>
    <w:p w14:paraId="0000000A" w14:textId="77777777" w:rsidR="009E02F1" w:rsidRDefault="00000000">
      <w:pPr>
        <w:pBdr>
          <w:top w:val="nil"/>
          <w:left w:val="nil"/>
          <w:bottom w:val="nil"/>
          <w:right w:val="nil"/>
          <w:between w:val="nil"/>
        </w:pBdr>
        <w:spacing w:after="0" w:line="240" w:lineRule="auto"/>
        <w:ind w:left="0" w:hanging="2"/>
      </w:pPr>
      <w:r>
        <w:rPr>
          <w:color w:val="000000"/>
        </w:rPr>
        <w:t xml:space="preserve">El suero lácteo (SL) bovino es el subproducto que se obtiene luego de la coagulación de las micelas de caseína durante la elaboración de queso. El elevado volumen de SL que se genera es un problema desde el punto de vista medioambiental ya que es altamente contaminante debido a su elevado contenido de materia orgánica como proteínas y lactosa. Las proteínas del SL pueden ser recuperadas por </w:t>
      </w:r>
      <w:r>
        <w:t>separación asociativa de fases -coacervación-</w:t>
      </w:r>
      <w:r>
        <w:rPr>
          <w:color w:val="000000"/>
        </w:rPr>
        <w:t xml:space="preserve"> con carboximetilcelulosa (CMC) en medio ácido. </w:t>
      </w:r>
      <w:r>
        <w:t xml:space="preserve">Este proceso da lugar a dos fases: la más densa, que posee las proteínas concentradas, y la mayoritaria, menos densa, que </w:t>
      </w:r>
      <w:r>
        <w:rPr>
          <w:color w:val="000000"/>
        </w:rPr>
        <w:t xml:space="preserve">contiene la mayor parte de la lactosa, </w:t>
      </w:r>
      <w:r>
        <w:t>constituyendo</w:t>
      </w:r>
      <w:r>
        <w:rPr>
          <w:color w:val="000000"/>
        </w:rPr>
        <w:t xml:space="preserve"> aún un efluente contaminante. Los </w:t>
      </w:r>
      <w:r>
        <w:t>gránulos</w:t>
      </w:r>
      <w:r>
        <w:rPr>
          <w:color w:val="000000"/>
        </w:rPr>
        <w:t xml:space="preserve"> de kéfir de leche </w:t>
      </w:r>
      <w:r>
        <w:t>consisten en</w:t>
      </w:r>
      <w:r>
        <w:rPr>
          <w:color w:val="000000"/>
        </w:rPr>
        <w:t xml:space="preserve"> una comunidad microbiana diversa formada por bacterias y levaduras a</w:t>
      </w:r>
      <w:r>
        <w:t xml:space="preserve">sociadas a </w:t>
      </w:r>
      <w:r>
        <w:rPr>
          <w:color w:val="000000"/>
        </w:rPr>
        <w:t xml:space="preserve">un </w:t>
      </w:r>
      <w:proofErr w:type="spellStart"/>
      <w:r>
        <w:rPr>
          <w:color w:val="000000"/>
        </w:rPr>
        <w:t>exopolisacárido</w:t>
      </w:r>
      <w:proofErr w:type="spellEnd"/>
      <w:r>
        <w:rPr>
          <w:color w:val="000000"/>
        </w:rPr>
        <w:t>; algunos de estos microorganismos tienen la capacidad de hidrolizar y metabolizar lactosa por lo que podrían resultar de utilidad en el tratamiento del efluente líquido rico en lacto</w:t>
      </w:r>
      <w:r>
        <w:t>s</w:t>
      </w:r>
      <w:r>
        <w:rPr>
          <w:color w:val="000000"/>
        </w:rPr>
        <w:t xml:space="preserve">a (LRL). El objetivo </w:t>
      </w:r>
      <w:r>
        <w:t>f</w:t>
      </w:r>
      <w:r>
        <w:rPr>
          <w:color w:val="000000"/>
        </w:rPr>
        <w:t>ue evaluar la fermentación del LRL utilizando el consorcio kéfir con el fin de dism</w:t>
      </w:r>
      <w:r>
        <w:t>inuir su contenido de lactosa y producir biomasa de interés en alimentos</w:t>
      </w:r>
      <w:r>
        <w:rPr>
          <w:color w:val="000000"/>
        </w:rPr>
        <w:t xml:space="preserve">. El LRL se obtuvo </w:t>
      </w:r>
      <w:r>
        <w:t>recuperando</w:t>
      </w:r>
      <w:r>
        <w:rPr>
          <w:color w:val="000000"/>
        </w:rPr>
        <w:t xml:space="preserve"> la fase superior luego de la </w:t>
      </w:r>
      <w:r>
        <w:t>coacervación</w:t>
      </w:r>
      <w:r>
        <w:rPr>
          <w:color w:val="000000"/>
        </w:rPr>
        <w:t xml:space="preserve"> </w:t>
      </w:r>
      <w:r>
        <w:t>de las proteínas del SL con</w:t>
      </w:r>
      <w:r>
        <w:rPr>
          <w:color w:val="000000"/>
        </w:rPr>
        <w:t xml:space="preserve"> CMC y ácido cítrico. Se analizó el efecto del pH inicial en la fermentación: se trabajó con LRL sin tratar (pH 3,0) y con el LRL neutralizado (pH 6,8). Se inocularon </w:t>
      </w:r>
      <w:sdt>
        <w:sdtPr>
          <w:tag w:val="goog_rdk_1"/>
          <w:id w:val="-1028793038"/>
        </w:sdtPr>
        <w:sdtContent>
          <w:commentRangeStart w:id="1"/>
        </w:sdtContent>
      </w:sdt>
      <w:r>
        <w:rPr>
          <w:color w:val="000000"/>
        </w:rPr>
        <w:t>700mL</w:t>
      </w:r>
      <w:commentRangeEnd w:id="1"/>
      <w:r>
        <w:commentReference w:id="1"/>
      </w:r>
      <w:r>
        <w:rPr>
          <w:color w:val="000000"/>
        </w:rPr>
        <w:t xml:space="preserve"> de cada una de las muestras con </w:t>
      </w:r>
      <w:r>
        <w:rPr>
          <w:color w:val="000000"/>
          <w:highlight w:val="white"/>
        </w:rPr>
        <w:t xml:space="preserve">35g </w:t>
      </w:r>
      <w:r>
        <w:rPr>
          <w:color w:val="000000"/>
        </w:rPr>
        <w:t xml:space="preserve">de gránulos de kéfir. Se evaluó el crecimiento de biomasa por gravimetría y densidad óptica, el contenido de lactosa mediante el método de </w:t>
      </w:r>
      <w:proofErr w:type="spellStart"/>
      <w:r>
        <w:rPr>
          <w:color w:val="000000"/>
        </w:rPr>
        <w:t>Somogyi</w:t>
      </w:r>
      <w:proofErr w:type="spellEnd"/>
      <w:r>
        <w:rPr>
          <w:color w:val="000000"/>
        </w:rPr>
        <w:t>-Nelson, la concentración proteica por el método de B</w:t>
      </w:r>
      <w:r>
        <w:t>radford</w:t>
      </w:r>
      <w:r>
        <w:rPr>
          <w:color w:val="000000"/>
        </w:rPr>
        <w:t xml:space="preserve"> y se midió el pH durante la fermentación, llevada a cabo durante 72 h a 40°C. </w:t>
      </w:r>
      <w:r>
        <w:t>E</w:t>
      </w:r>
      <w:r>
        <w:rPr>
          <w:color w:val="000000"/>
        </w:rPr>
        <w:t xml:space="preserve">l pH del LRL sin tratar no se modificó (p=0,1765) pero en el neutralizado se incrementó hasta 8,75 durante su fermentación. La máxima producción de biomasa se obtuvo </w:t>
      </w:r>
      <w:r>
        <w:t>entre las</w:t>
      </w:r>
      <w:r>
        <w:rPr>
          <w:color w:val="000000"/>
        </w:rPr>
        <w:t xml:space="preserve"> 29h y las 45h de fermentación, resultando mayor para el LRL sin tratar</w:t>
      </w:r>
      <w:r>
        <w:t>, con un</w:t>
      </w:r>
      <w:r>
        <w:rPr>
          <w:color w:val="000000"/>
        </w:rPr>
        <w:t xml:space="preserve">a productividad del </w:t>
      </w:r>
      <w:r>
        <w:t>14</w:t>
      </w:r>
      <w:r>
        <w:rPr>
          <w:color w:val="000000"/>
        </w:rPr>
        <w:t>%. La fase de muerte se alcan</w:t>
      </w:r>
      <w:r>
        <w:t>zó antes para el LRL neutralizado (45h)</w:t>
      </w:r>
      <w:r>
        <w:rPr>
          <w:color w:val="000000"/>
        </w:rPr>
        <w:t>, con un descenso de la biomasa húme</w:t>
      </w:r>
      <w:r>
        <w:t>d</w:t>
      </w:r>
      <w:r>
        <w:rPr>
          <w:color w:val="000000"/>
        </w:rPr>
        <w:t xml:space="preserve">a a </w:t>
      </w:r>
      <w:r>
        <w:t>valores por debajo de los iniciales</w:t>
      </w:r>
      <w:r>
        <w:rPr>
          <w:color w:val="000000"/>
        </w:rPr>
        <w:t>. La concentración de lactosa</w:t>
      </w:r>
      <w:r>
        <w:t xml:space="preserve"> presentó un mínimo entre las 48h y las 54h de fermentación, con un porcentaje de reducción de su concentración del 60% para el LRL sin tratar. La concentración de proteína (0,6g/L) no varió a lo largo del proceso para el LRL sin tratar (p=0,621), pero se incrementó durante la fase de muerte para el LRL neutralizado, al igual que la concentración de </w:t>
      </w:r>
      <w:r>
        <w:lastRenderedPageBreak/>
        <w:t xml:space="preserve">azúcares reductores, lo que se atribuyó a la lisis celular. </w:t>
      </w:r>
      <w:r>
        <w:rPr>
          <w:color w:val="000000"/>
        </w:rPr>
        <w:t xml:space="preserve">Se concluye que la fermentación resulta más apropiada cuando </w:t>
      </w:r>
      <w:r>
        <w:t xml:space="preserve">el LRL no se neutraliza, y que el tiempo de incubación de </w:t>
      </w:r>
      <w:r>
        <w:rPr>
          <w:highlight w:val="white"/>
        </w:rPr>
        <w:t>48h</w:t>
      </w:r>
      <w:r>
        <w:t xml:space="preserve"> es el más conveniente para reducir el contenido de lactosa al 40% </w:t>
      </w:r>
      <w:proofErr w:type="gramStart"/>
      <w:r>
        <w:t>del inicial</w:t>
      </w:r>
      <w:proofErr w:type="gramEnd"/>
      <w:r>
        <w:t>, con una conversión de 0,23g/g.</w:t>
      </w:r>
    </w:p>
    <w:p w14:paraId="0000000B" w14:textId="77777777" w:rsidR="009E02F1" w:rsidRDefault="009E02F1">
      <w:pPr>
        <w:pBdr>
          <w:top w:val="nil"/>
          <w:left w:val="nil"/>
          <w:bottom w:val="nil"/>
          <w:right w:val="nil"/>
          <w:between w:val="nil"/>
        </w:pBdr>
        <w:spacing w:after="0" w:line="240" w:lineRule="auto"/>
        <w:ind w:left="0" w:hanging="2"/>
      </w:pPr>
    </w:p>
    <w:p w14:paraId="0000000C" w14:textId="77777777" w:rsidR="009E02F1" w:rsidRDefault="00000000">
      <w:pPr>
        <w:pBdr>
          <w:top w:val="nil"/>
          <w:left w:val="nil"/>
          <w:bottom w:val="nil"/>
          <w:right w:val="nil"/>
          <w:between w:val="nil"/>
        </w:pBdr>
        <w:spacing w:after="0" w:line="240" w:lineRule="auto"/>
        <w:ind w:left="0" w:hanging="2"/>
        <w:rPr>
          <w:color w:val="000000"/>
        </w:rPr>
      </w:pPr>
      <w:r>
        <w:rPr>
          <w:color w:val="000000"/>
        </w:rPr>
        <w:t>Palabras Clave: lactosa, biomasa, efluente lácteo</w:t>
      </w:r>
    </w:p>
    <w:sectPr w:rsidR="009E02F1">
      <w:headerReference w:type="default" r:id="rId10"/>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ina DelBo" w:date="2022-08-06T15:38:00Z" w:initials="">
    <w:p w14:paraId="0000000F" w14:textId="77777777" w:rsidR="009E02F1"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A que corresponde la sigla</w:t>
      </w:r>
    </w:p>
  </w:comment>
  <w:comment w:id="1" w:author="Carolina DelBo" w:date="2022-08-06T15:41:00Z" w:initials="">
    <w:p w14:paraId="0000000E" w14:textId="77777777" w:rsidR="009E02F1"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Dejar un espacio entre el número y la unidad (ver otros en el texto)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F" w15:done="0"/>
  <w15:commentEx w15:paraId="000000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F" w16cid:durableId="269A201E"/>
  <w16cid:commentId w16cid:paraId="0000000E" w16cid:durableId="269A20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2BBF" w14:textId="77777777" w:rsidR="00E94EEF" w:rsidRDefault="00E94EEF">
      <w:pPr>
        <w:spacing w:after="0" w:line="240" w:lineRule="auto"/>
        <w:ind w:left="0" w:hanging="2"/>
      </w:pPr>
      <w:r>
        <w:separator/>
      </w:r>
    </w:p>
  </w:endnote>
  <w:endnote w:type="continuationSeparator" w:id="0">
    <w:p w14:paraId="6A30A8B1" w14:textId="77777777" w:rsidR="00E94EEF" w:rsidRDefault="00E94EE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9431" w14:textId="77777777" w:rsidR="00E94EEF" w:rsidRDefault="00E94EEF">
      <w:pPr>
        <w:spacing w:after="0" w:line="240" w:lineRule="auto"/>
        <w:ind w:left="0" w:hanging="2"/>
      </w:pPr>
      <w:r>
        <w:separator/>
      </w:r>
    </w:p>
  </w:footnote>
  <w:footnote w:type="continuationSeparator" w:id="0">
    <w:p w14:paraId="74403ACB" w14:textId="77777777" w:rsidR="00E94EEF" w:rsidRDefault="00E94EE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D" w14:textId="77777777" w:rsidR="009E02F1"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2022)</w:t>
    </w:r>
    <w:r>
      <w:rPr>
        <w:noProof/>
      </w:rPr>
      <w:drawing>
        <wp:anchor distT="0" distB="0" distL="114300" distR="114300" simplePos="0" relativeHeight="251658240" behindDoc="0" locked="0" layoutInCell="1" hidden="0" allowOverlap="1" wp14:anchorId="371312A6" wp14:editId="71BF4544">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2F1"/>
    <w:rsid w:val="009E02F1"/>
    <w:rsid w:val="00A37163"/>
    <w:rsid w:val="00E94E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928B8-0327-4E90-8A0C-FC97B4EA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qFormat/>
    <w:rsid w:val="003A15CB"/>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3A15CB"/>
    <w:pPr>
      <w:jc w:val="center"/>
    </w:pPr>
    <w:rPr>
      <w:rFonts w:cs="Times New Roman"/>
      <w:b/>
    </w:rPr>
  </w:style>
  <w:style w:type="paragraph" w:styleId="Ttulo2">
    <w:name w:val="heading 2"/>
    <w:basedOn w:val="Normal"/>
    <w:next w:val="Normal"/>
    <w:uiPriority w:val="9"/>
    <w:semiHidden/>
    <w:unhideWhenUsed/>
    <w:qFormat/>
    <w:rsid w:val="003A15CB"/>
    <w:pPr>
      <w:jc w:val="center"/>
      <w:outlineLvl w:val="1"/>
    </w:pPr>
    <w:rPr>
      <w:rFonts w:cs="Times New Roman"/>
    </w:rPr>
  </w:style>
  <w:style w:type="paragraph" w:styleId="Ttulo3">
    <w:name w:val="heading 3"/>
    <w:basedOn w:val="Normal"/>
    <w:next w:val="Normal"/>
    <w:uiPriority w:val="9"/>
    <w:semiHidden/>
    <w:unhideWhenUsed/>
    <w:qFormat/>
    <w:rsid w:val="003A15CB"/>
    <w:pPr>
      <w:jc w:val="center"/>
      <w:outlineLvl w:val="2"/>
    </w:pPr>
    <w:rPr>
      <w:rFonts w:cs="Times New Roman"/>
    </w:rPr>
  </w:style>
  <w:style w:type="paragraph" w:styleId="Ttulo4">
    <w:name w:val="heading 4"/>
    <w:basedOn w:val="Normal2"/>
    <w:next w:val="Normal2"/>
    <w:uiPriority w:val="9"/>
    <w:semiHidden/>
    <w:unhideWhenUsed/>
    <w:qFormat/>
    <w:rsid w:val="003A15CB"/>
    <w:pPr>
      <w:keepNext/>
      <w:keepLines/>
      <w:spacing w:before="240" w:after="40"/>
      <w:outlineLvl w:val="3"/>
    </w:pPr>
    <w:rPr>
      <w:b/>
    </w:rPr>
  </w:style>
  <w:style w:type="paragraph" w:styleId="Ttulo5">
    <w:name w:val="heading 5"/>
    <w:basedOn w:val="Normal2"/>
    <w:next w:val="Normal2"/>
    <w:uiPriority w:val="9"/>
    <w:semiHidden/>
    <w:unhideWhenUsed/>
    <w:qFormat/>
    <w:rsid w:val="003A15CB"/>
    <w:pPr>
      <w:keepNext/>
      <w:keepLines/>
      <w:spacing w:before="220" w:after="40"/>
      <w:outlineLvl w:val="4"/>
    </w:pPr>
    <w:rPr>
      <w:b/>
      <w:sz w:val="22"/>
      <w:szCs w:val="22"/>
    </w:rPr>
  </w:style>
  <w:style w:type="paragraph" w:styleId="Ttulo6">
    <w:name w:val="heading 6"/>
    <w:basedOn w:val="Normal2"/>
    <w:next w:val="Normal2"/>
    <w:uiPriority w:val="9"/>
    <w:semiHidden/>
    <w:unhideWhenUsed/>
    <w:qFormat/>
    <w:rsid w:val="003A15C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uiPriority w:val="10"/>
    <w:qFormat/>
    <w:rsid w:val="003A15CB"/>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rsid w:val="003A15CB"/>
  </w:style>
  <w:style w:type="table" w:customStyle="1" w:styleId="TableNormal1">
    <w:name w:val="Table Normal"/>
    <w:rsid w:val="003A15CB"/>
    <w:tblPr>
      <w:tblCellMar>
        <w:top w:w="0" w:type="dxa"/>
        <w:left w:w="0" w:type="dxa"/>
        <w:bottom w:w="0" w:type="dxa"/>
        <w:right w:w="0" w:type="dxa"/>
      </w:tblCellMar>
    </w:tblPr>
  </w:style>
  <w:style w:type="paragraph" w:customStyle="1" w:styleId="Normal2">
    <w:name w:val="Normal2"/>
    <w:rsid w:val="003A15CB"/>
  </w:style>
  <w:style w:type="table" w:customStyle="1" w:styleId="TableNormal2">
    <w:name w:val="Table Normal"/>
    <w:rsid w:val="003A15CB"/>
    <w:tblPr>
      <w:tblCellMar>
        <w:top w:w="0" w:type="dxa"/>
        <w:left w:w="0" w:type="dxa"/>
        <w:bottom w:w="0" w:type="dxa"/>
        <w:right w:w="0" w:type="dxa"/>
      </w:tblCellMar>
    </w:tblPr>
  </w:style>
  <w:style w:type="character" w:styleId="Hipervnculo">
    <w:name w:val="Hyperlink"/>
    <w:autoRedefine/>
    <w:hidden/>
    <w:qFormat/>
    <w:rsid w:val="003A15CB"/>
    <w:rPr>
      <w:color w:val="0000FF"/>
      <w:w w:val="100"/>
      <w:position w:val="-1"/>
      <w:u w:val="single"/>
      <w:effect w:val="none"/>
      <w:vertAlign w:val="baseline"/>
      <w:cs w:val="0"/>
      <w:em w:val="none"/>
    </w:rPr>
  </w:style>
  <w:style w:type="character" w:customStyle="1" w:styleId="Ttulo1Car">
    <w:name w:val="Título 1 Car"/>
    <w:autoRedefine/>
    <w:hidden/>
    <w:qFormat/>
    <w:rsid w:val="003A15CB"/>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3A15CB"/>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3A15CB"/>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3A15CB"/>
    <w:pPr>
      <w:spacing w:after="0" w:line="240" w:lineRule="auto"/>
    </w:pPr>
    <w:rPr>
      <w:rFonts w:cs="Times New Roman"/>
    </w:rPr>
  </w:style>
  <w:style w:type="character" w:customStyle="1" w:styleId="EncabezadoCar">
    <w:name w:val="Encabezado Car"/>
    <w:autoRedefine/>
    <w:hidden/>
    <w:qFormat/>
    <w:rsid w:val="003A15CB"/>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3A15CB"/>
    <w:pPr>
      <w:spacing w:after="0" w:line="240" w:lineRule="auto"/>
    </w:pPr>
    <w:rPr>
      <w:rFonts w:cs="Times New Roman"/>
    </w:rPr>
  </w:style>
  <w:style w:type="character" w:customStyle="1" w:styleId="PiedepginaCar">
    <w:name w:val="Pie de página Car"/>
    <w:autoRedefine/>
    <w:hidden/>
    <w:qFormat/>
    <w:rsid w:val="003A15CB"/>
    <w:rPr>
      <w:rFonts w:ascii="Arial" w:hAnsi="Arial" w:cs="Arial"/>
      <w:w w:val="100"/>
      <w:position w:val="-1"/>
      <w:sz w:val="24"/>
      <w:szCs w:val="24"/>
      <w:effect w:val="none"/>
      <w:vertAlign w:val="baseline"/>
      <w:cs w:val="0"/>
      <w:em w:val="none"/>
    </w:rPr>
  </w:style>
  <w:style w:type="character" w:styleId="Textoennegrita">
    <w:name w:val="Strong"/>
    <w:autoRedefine/>
    <w:hidden/>
    <w:qFormat/>
    <w:rsid w:val="003A15CB"/>
    <w:rPr>
      <w:b/>
      <w:bCs/>
      <w:w w:val="100"/>
      <w:position w:val="-1"/>
      <w:effect w:val="none"/>
      <w:vertAlign w:val="baseline"/>
      <w:cs w:val="0"/>
      <w:em w:val="none"/>
    </w:rPr>
  </w:style>
  <w:style w:type="paragraph" w:styleId="Textodeglobo">
    <w:name w:val="Balloon Text"/>
    <w:basedOn w:val="Normal"/>
    <w:autoRedefine/>
    <w:hidden/>
    <w:qFormat/>
    <w:rsid w:val="003A15CB"/>
    <w:pPr>
      <w:spacing w:after="0" w:line="240" w:lineRule="auto"/>
    </w:pPr>
    <w:rPr>
      <w:rFonts w:ascii="Segoe UI" w:hAnsi="Segoe UI" w:cs="Times New Roman"/>
      <w:sz w:val="18"/>
      <w:szCs w:val="18"/>
    </w:rPr>
  </w:style>
  <w:style w:type="character" w:customStyle="1" w:styleId="TextodegloboCar">
    <w:name w:val="Texto de globo Car"/>
    <w:autoRedefine/>
    <w:hidden/>
    <w:qFormat/>
    <w:rsid w:val="003A15CB"/>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l3luw4oPfJR4mYvb6Mcue9bA==">AMUW2mXeSXNAB7E5k9qSuGpF5mPFqEMycS+zOUR7EN7YOhEn5WcfQj9Wcy9oWI2plv2nph9uGw6oDDIGl6Hj/hADRs8ArgP2NMe3E4CDAXr3m6DhDkWwuyNaTCyccVUHFjLKObjD4/hz5DDM8QH54eDCpOCjvLwlR5/rspFQpUR94iSOvxLnIVpNOsl3u7ah7/jpfa3u7fZxm6zNAu3kBDmqoUp9U/FsBNmNzsUspnRCecfc5pF9iDOkw4aDNrAVSP9v5aPihwBHLwpM50n/40567vRmMNydU+mL8eU5ippVM9QjQDKIPv6dI84jAlYz1ugNnIWh3ylV/IC5QWiStJVc8CfamcfYKGU95PCf4KPHABsjgsio+lK7CrRxddc3C5uNnZNq40Mpej1N2/odxNCuuxPnYc7kV3NbJB+v8llz5T2uWkgq1mAv1xGxRG8X25F2V/4g1DbYmNMA1/OihMsHNmm6oI+P1pbp2td7Qo6oPn67bfPEDPXdiH2H7AVL3VkTARtcG3nQEqQH/6lE7gymX+G+plWbOVMFFolkm4eMsMwrYwgVI0JDstZs2T0s9o+ExO0mvFjm1wfUwJdX8WQVOXrRXbyXEmypws/y4Xu5xqiKSMciaBIEadDFWgtc9i8DH2ImIcKPZ7ZQjAODYKIgQFIVpC0Vf7s24KqE826PfkDBfipxCN9GeUl7g7G+9NfrC2VEnPrxCheudSn9xuXLQW6ZiYTS941TrmvsYciJycM51FFqa+pyC/dg44jNJzeEF/92s0SWgJNNTDuXdcchI2MO4+dyMqY7JbpajrVSTlCHRKp7gjDs/Ror3tcH0sFY/sKecFvHDGoToBwGIgGQjOkvCACLDsk+CUO7AL8ELcYhd2tMAIv0KC8P+gHrGgBK4iP5lId1FVn7/NVXNv+PxeKKn84EXA/KQgtdUvOJrmgyroJ9cMOWuDa6MQ0TbHLtdpC1DkLIYw5Mi6zlX6kbgXXx8SmLVvwuj0Fyc0W/pkw3gaf0ATqxdMKEn7bqYO0meEDYtmowuXm+hEC31fEm1BqwkpZyaaTTEPo/M11W3YflpbUMdOoFPD2vinvALNiKVo4SBO4rmRvszDoNNHjUL74XPwl/HrrnxHzyEstjN32GqTjBjnqbeWWGL3YkZylaviUoQGn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2952</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2022-08-07T14:27:00Z</dcterms:created>
  <dcterms:modified xsi:type="dcterms:W3CDTF">2022-08-07T14:27:00Z</dcterms:modified>
</cp:coreProperties>
</file>