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288D" w14:textId="686F99F1" w:rsidR="00074CA2" w:rsidRDefault="00343309">
      <w:pPr>
        <w:pBdr>
          <w:top w:val="nil"/>
          <w:left w:val="nil"/>
          <w:bottom w:val="nil"/>
          <w:right w:val="nil"/>
          <w:between w:val="nil"/>
        </w:pBdr>
        <w:spacing w:after="0" w:line="240" w:lineRule="auto"/>
        <w:ind w:left="0" w:hanging="2"/>
        <w:jc w:val="center"/>
        <w:rPr>
          <w:b/>
          <w:color w:val="000000"/>
        </w:rPr>
      </w:pPr>
      <w:r>
        <w:rPr>
          <w:b/>
          <w:color w:val="000000"/>
        </w:rPr>
        <w:t>E</w:t>
      </w:r>
      <w:r w:rsidRPr="00343309">
        <w:rPr>
          <w:b/>
          <w:color w:val="000000"/>
        </w:rPr>
        <w:t xml:space="preserve">studio de la calidad de pastas </w:t>
      </w:r>
      <w:r>
        <w:rPr>
          <w:b/>
          <w:color w:val="000000"/>
        </w:rPr>
        <w:t xml:space="preserve">libres de gluten </w:t>
      </w:r>
      <w:r w:rsidRPr="00343309">
        <w:rPr>
          <w:b/>
          <w:color w:val="000000"/>
        </w:rPr>
        <w:t xml:space="preserve">elaboradas con diferentes cultivares </w:t>
      </w:r>
      <w:r>
        <w:rPr>
          <w:b/>
          <w:color w:val="000000"/>
        </w:rPr>
        <w:t>de maíz</w:t>
      </w:r>
    </w:p>
    <w:p w14:paraId="4D4D7DD1" w14:textId="77777777" w:rsidR="00074CA2" w:rsidRDefault="00074CA2">
      <w:pPr>
        <w:spacing w:after="0" w:line="240" w:lineRule="auto"/>
        <w:ind w:left="0" w:hanging="2"/>
        <w:jc w:val="center"/>
      </w:pPr>
    </w:p>
    <w:p w14:paraId="30E0978A" w14:textId="01860432" w:rsidR="00074CA2" w:rsidRDefault="00EF6A4A">
      <w:pPr>
        <w:spacing w:after="0" w:line="240" w:lineRule="auto"/>
        <w:ind w:left="0" w:hanging="2"/>
        <w:jc w:val="center"/>
      </w:pPr>
      <w:r w:rsidRPr="00EF6A4A">
        <w:t xml:space="preserve">Bongianino NF </w:t>
      </w:r>
      <w:r>
        <w:t>(</w:t>
      </w:r>
      <w:r w:rsidRPr="00EF6A4A">
        <w:t>1</w:t>
      </w:r>
      <w:r w:rsidR="00790D9A">
        <w:t>,</w:t>
      </w:r>
      <w:r w:rsidRPr="00EF6A4A">
        <w:t>2</w:t>
      </w:r>
      <w:r>
        <w:t>)</w:t>
      </w:r>
      <w:r w:rsidRPr="00EF6A4A">
        <w:t xml:space="preserve">, </w:t>
      </w:r>
      <w:r w:rsidR="00C51EEA" w:rsidRPr="00EF6A4A">
        <w:t xml:space="preserve">Steffolani ME </w:t>
      </w:r>
      <w:r w:rsidR="00C51EEA">
        <w:t>(</w:t>
      </w:r>
      <w:r w:rsidR="00C51EEA" w:rsidRPr="00EF6A4A">
        <w:t>1</w:t>
      </w:r>
      <w:r w:rsidR="00790D9A">
        <w:t>,</w:t>
      </w:r>
      <w:r w:rsidR="00C51EEA" w:rsidRPr="00EF6A4A">
        <w:t>2</w:t>
      </w:r>
      <w:r w:rsidR="00C51EEA">
        <w:t>)</w:t>
      </w:r>
      <w:r w:rsidR="00C51EEA" w:rsidRPr="00EF6A4A">
        <w:t xml:space="preserve">, </w:t>
      </w:r>
      <w:r w:rsidRPr="00EF6A4A">
        <w:t xml:space="preserve">Biasutti CA </w:t>
      </w:r>
      <w:r>
        <w:t>(</w:t>
      </w:r>
      <w:r w:rsidRPr="00EF6A4A">
        <w:t>2</w:t>
      </w:r>
      <w:r>
        <w:t>)</w:t>
      </w:r>
      <w:r w:rsidRPr="00EF6A4A">
        <w:t xml:space="preserve">, León AE </w:t>
      </w:r>
      <w:r>
        <w:t>(</w:t>
      </w:r>
      <w:r w:rsidRPr="00EF6A4A">
        <w:t>1</w:t>
      </w:r>
      <w:r w:rsidR="00790D9A">
        <w:t>,</w:t>
      </w:r>
      <w:r w:rsidRPr="00EF6A4A">
        <w:t>2</w:t>
      </w:r>
      <w:r>
        <w:t>)</w:t>
      </w:r>
    </w:p>
    <w:p w14:paraId="33225017" w14:textId="77777777" w:rsidR="00074CA2" w:rsidRDefault="00074CA2">
      <w:pPr>
        <w:spacing w:after="0" w:line="240" w:lineRule="auto"/>
        <w:ind w:left="0" w:hanging="2"/>
        <w:jc w:val="center"/>
      </w:pPr>
    </w:p>
    <w:p w14:paraId="3B549B5A" w14:textId="77777777" w:rsidR="00EF6A4A" w:rsidRDefault="00EF6A4A" w:rsidP="00EF6A4A">
      <w:pPr>
        <w:spacing w:after="120" w:line="240" w:lineRule="auto"/>
        <w:ind w:left="0" w:hanging="2"/>
        <w:jc w:val="left"/>
      </w:pPr>
      <w:r>
        <w:t>(1) ICYTAC - CONICET - Universidad Nacional de Córdoba, Argentina.</w:t>
      </w:r>
    </w:p>
    <w:p w14:paraId="065CDAEF" w14:textId="37D89666" w:rsidR="00074CA2" w:rsidRDefault="00EF6A4A" w:rsidP="00EF6A4A">
      <w:pPr>
        <w:spacing w:after="120" w:line="240" w:lineRule="auto"/>
        <w:ind w:left="0" w:hanging="2"/>
        <w:jc w:val="left"/>
      </w:pPr>
      <w:r>
        <w:t>(2) Facultad de Ciencias Agropecuarias - Universidad Nacional de Córdoba, Argentina.</w:t>
      </w:r>
    </w:p>
    <w:p w14:paraId="3347BF5E" w14:textId="6F65A905" w:rsidR="00074CA2" w:rsidRDefault="00EF6A4A" w:rsidP="00790D9A">
      <w:pPr>
        <w:pBdr>
          <w:top w:val="nil"/>
          <w:left w:val="nil"/>
          <w:bottom w:val="nil"/>
          <w:right w:val="nil"/>
          <w:between w:val="nil"/>
        </w:pBdr>
        <w:tabs>
          <w:tab w:val="left" w:pos="7185"/>
        </w:tabs>
        <w:spacing w:after="0" w:line="240" w:lineRule="auto"/>
        <w:ind w:leftChars="0" w:left="0" w:firstLineChars="0" w:firstLine="0"/>
        <w:jc w:val="left"/>
        <w:rPr>
          <w:color w:val="000000"/>
        </w:rPr>
      </w:pPr>
      <w:r w:rsidRPr="00EF6A4A">
        <w:rPr>
          <w:color w:val="000000"/>
        </w:rPr>
        <w:t>nicolasbongianino@agro.unc.edu.ar</w:t>
      </w:r>
      <w:r w:rsidR="00635A22">
        <w:rPr>
          <w:color w:val="000000"/>
        </w:rPr>
        <w:tab/>
      </w:r>
    </w:p>
    <w:p w14:paraId="4988DBA3" w14:textId="77777777" w:rsidR="00074CA2" w:rsidRDefault="00074CA2" w:rsidP="00B46DC3">
      <w:pPr>
        <w:spacing w:after="0" w:line="240" w:lineRule="auto"/>
        <w:ind w:leftChars="0" w:left="0" w:firstLineChars="0" w:firstLine="0"/>
      </w:pPr>
    </w:p>
    <w:p w14:paraId="2E4BE5F8" w14:textId="642C61DE" w:rsidR="00074CA2" w:rsidRPr="00192A99" w:rsidRDefault="00EF6A4A">
      <w:pPr>
        <w:spacing w:after="0" w:line="240" w:lineRule="auto"/>
        <w:ind w:left="0" w:hanging="2"/>
      </w:pPr>
      <w:r w:rsidRPr="00EF6A4A">
        <w:t>La enfermedad celíaca es una enteropatía desencadenada por la ingestión de gluten y proteínas de cereales relacionadas en individuos genéticamente susceptibles. El maíz es un cereal con buenas aptitudes para la elaboración de pastas libres de gluten ya que los productos obtenidos con su harina resultan en alimentos con buena calidad textural y color. Sin embargo, al momento de seleccionar la materia prima adecuada,</w:t>
      </w:r>
      <w:r w:rsidR="00ED2DF7">
        <w:t xml:space="preserve"> </w:t>
      </w:r>
      <w:r w:rsidR="00ED2DF7">
        <w:rPr>
          <w:lang w:val="es-MX"/>
        </w:rPr>
        <w:t>no existe suficiente información que permita relacionar las características fisicoquímicas del grano con atributos de calidad de pastas</w:t>
      </w:r>
      <w:r w:rsidRPr="00192A99">
        <w:t xml:space="preserve">. El objetivo del presente trabajo fue evaluar </w:t>
      </w:r>
      <w:r w:rsidR="00C96708" w:rsidRPr="00192A99">
        <w:t xml:space="preserve">características fisicoquímicas y </w:t>
      </w:r>
      <w:r w:rsidRPr="00192A99">
        <w:t xml:space="preserve">la calidad de pasta lograda a partir de </w:t>
      </w:r>
      <w:r w:rsidR="0006453F" w:rsidRPr="00192A99">
        <w:t xml:space="preserve">diferentes cultivares </w:t>
      </w:r>
      <w:r w:rsidRPr="00192A99">
        <w:t>de maíz. Los genotipos utilizados fueron</w:t>
      </w:r>
      <w:r w:rsidR="004337D8" w:rsidRPr="00192A99">
        <w:t>:</w:t>
      </w:r>
      <w:r w:rsidRPr="00192A99">
        <w:t xml:space="preserve"> tres híbridos comerciales (H) “AX882”, “P2089” y “P1815”, una variedad de libre polinización (VLP) “C6006” y una línea endocriada “CIM06”. Las características físicas del grano se evaluaron a través del peso hectolítrico (</w:t>
      </w:r>
      <w:r w:rsidR="00ED2DF7" w:rsidRPr="00192A99">
        <w:t>PH</w:t>
      </w:r>
      <w:r w:rsidRPr="00192A99">
        <w:t>), peso de 100 granos (</w:t>
      </w:r>
      <w:r w:rsidR="00ED2DF7" w:rsidRPr="00192A99">
        <w:t>P</w:t>
      </w:r>
      <w:r w:rsidRPr="00192A99">
        <w:t>100) e índice de flotación (</w:t>
      </w:r>
      <w:r w:rsidR="00ED2DF7" w:rsidRPr="00192A99">
        <w:t>IF</w:t>
      </w:r>
      <w:r w:rsidRPr="00192A99">
        <w:t>). Los granos fueron molidos</w:t>
      </w:r>
      <w:r w:rsidR="005338B3" w:rsidRPr="00192A99">
        <w:t xml:space="preserve"> con</w:t>
      </w:r>
      <w:r w:rsidRPr="00192A99">
        <w:t xml:space="preserve"> un molino ciclónico </w:t>
      </w:r>
      <w:r w:rsidR="000669B5" w:rsidRPr="00192A99">
        <w:t xml:space="preserve">utilizando una malla de </w:t>
      </w:r>
      <w:r w:rsidRPr="00192A99">
        <w:t xml:space="preserve">1 </w:t>
      </w:r>
      <w:proofErr w:type="spellStart"/>
      <w:r w:rsidRPr="00192A99">
        <w:t>mm.</w:t>
      </w:r>
      <w:proofErr w:type="spellEnd"/>
      <w:r w:rsidRPr="00192A99">
        <w:t xml:space="preserve"> </w:t>
      </w:r>
      <w:r w:rsidR="000669B5" w:rsidRPr="00192A99">
        <w:t>El</w:t>
      </w:r>
      <w:r w:rsidR="00CD2392" w:rsidRPr="00192A99">
        <w:t xml:space="preserve"> </w:t>
      </w:r>
      <w:r w:rsidRPr="00192A99">
        <w:t xml:space="preserve">contenido de proteínas, lípidos y cenizas </w:t>
      </w:r>
      <w:r w:rsidR="009739EA" w:rsidRPr="00192A99">
        <w:t xml:space="preserve">se determinó </w:t>
      </w:r>
      <w:r w:rsidRPr="00192A99">
        <w:t xml:space="preserve">según los métodos 46-10.01, 30-25.01 y 08-01.01 de la American </w:t>
      </w:r>
      <w:proofErr w:type="spellStart"/>
      <w:r w:rsidRPr="00192A99">
        <w:t>Association</w:t>
      </w:r>
      <w:proofErr w:type="spellEnd"/>
      <w:r w:rsidRPr="00192A99">
        <w:t xml:space="preserve"> </w:t>
      </w:r>
      <w:proofErr w:type="spellStart"/>
      <w:r w:rsidRPr="00192A99">
        <w:t>of</w:t>
      </w:r>
      <w:proofErr w:type="spellEnd"/>
      <w:r w:rsidRPr="00192A99">
        <w:t xml:space="preserve"> Cereal </w:t>
      </w:r>
      <w:proofErr w:type="spellStart"/>
      <w:r w:rsidRPr="00192A99">
        <w:t>Chemists</w:t>
      </w:r>
      <w:proofErr w:type="spellEnd"/>
      <w:r w:rsidRPr="00192A99">
        <w:t>, respectivamente. La</w:t>
      </w:r>
      <w:r w:rsidR="00E767D6" w:rsidRPr="00192A99">
        <w:t>s</w:t>
      </w:r>
      <w:r w:rsidRPr="00192A99">
        <w:t xml:space="preserve"> pasta</w:t>
      </w:r>
      <w:r w:rsidR="00E767D6" w:rsidRPr="00192A99">
        <w:t>s</w:t>
      </w:r>
      <w:r w:rsidRPr="00192A99">
        <w:t xml:space="preserve"> fue</w:t>
      </w:r>
      <w:r w:rsidR="00E767D6" w:rsidRPr="00192A99">
        <w:t>ron</w:t>
      </w:r>
      <w:r w:rsidRPr="00192A99">
        <w:t xml:space="preserve"> </w:t>
      </w:r>
      <w:r w:rsidR="00AD390B" w:rsidRPr="00192A99">
        <w:t>elaborada</w:t>
      </w:r>
      <w:r w:rsidR="00E767D6" w:rsidRPr="00192A99">
        <w:t>s</w:t>
      </w:r>
      <w:r w:rsidR="00AD390B" w:rsidRPr="00192A99">
        <w:t xml:space="preserve"> </w:t>
      </w:r>
      <w:r w:rsidRPr="00192A99">
        <w:t>por extrusión adicionando a la harina</w:t>
      </w:r>
      <w:r w:rsidR="00E767D6" w:rsidRPr="00192A99">
        <w:t xml:space="preserve"> de maíz</w:t>
      </w:r>
      <w:r w:rsidRPr="00192A99">
        <w:t xml:space="preserve"> un 2% de almidón pregelatinizado, 3% de albúmina de huevo y 1% de sal. Se </w:t>
      </w:r>
      <w:r w:rsidR="00AD390B" w:rsidRPr="00192A99">
        <w:t>analizaron las</w:t>
      </w:r>
      <w:r w:rsidRPr="00192A99">
        <w:t xml:space="preserve"> propiedades de cocción como </w:t>
      </w:r>
      <w:r w:rsidR="00ED2DF7" w:rsidRPr="00192A99">
        <w:t>tiempo óptimo de cocción (TOC),</w:t>
      </w:r>
      <w:r w:rsidR="00AD390B" w:rsidRPr="00192A99">
        <w:t xml:space="preserve"> </w:t>
      </w:r>
      <w:r w:rsidRPr="00192A99">
        <w:t xml:space="preserve">índice de hinchamiento (IH), </w:t>
      </w:r>
      <w:r w:rsidR="009658EF" w:rsidRPr="00192A99">
        <w:t xml:space="preserve">la </w:t>
      </w:r>
      <w:r w:rsidRPr="00192A99">
        <w:t xml:space="preserve">absorción de agua (AA) y </w:t>
      </w:r>
      <w:r w:rsidR="009658EF" w:rsidRPr="00192A99">
        <w:t xml:space="preserve">el </w:t>
      </w:r>
      <w:r w:rsidRPr="00192A99">
        <w:t>residuo de cocción (RC). Además, se determinó la firmeza de la pasta cocida (F). Los análisis estadísticos se realizaron con el software estadístico InfoStat. Se encontraron diferencias significativas en</w:t>
      </w:r>
      <w:r w:rsidR="00664048" w:rsidRPr="00192A99">
        <w:t xml:space="preserve"> parámetros físicos con valores entre </w:t>
      </w:r>
      <w:r w:rsidR="00F46A56" w:rsidRPr="00192A99">
        <w:t>(</w:t>
      </w:r>
      <w:r w:rsidR="00557BA4">
        <w:t>P</w:t>
      </w:r>
      <w:r w:rsidR="00F46A56" w:rsidRPr="00192A99">
        <w:t xml:space="preserve">100) </w:t>
      </w:r>
      <w:r w:rsidR="00664048" w:rsidRPr="00192A99">
        <w:t>31</w:t>
      </w:r>
      <w:r w:rsidR="00ED2DF7" w:rsidRPr="00192A99">
        <w:t>,</w:t>
      </w:r>
      <w:r w:rsidR="00664048" w:rsidRPr="00192A99">
        <w:t>25 y 37</w:t>
      </w:r>
      <w:r w:rsidR="00ED2DF7" w:rsidRPr="00192A99">
        <w:t>,</w:t>
      </w:r>
      <w:r w:rsidR="00664048" w:rsidRPr="00192A99">
        <w:t xml:space="preserve">98 g, </w:t>
      </w:r>
      <w:r w:rsidR="00F46A56" w:rsidRPr="00192A99">
        <w:t>(</w:t>
      </w:r>
      <w:r w:rsidR="00557BA4">
        <w:t>PH</w:t>
      </w:r>
      <w:r w:rsidR="00F46A56" w:rsidRPr="00192A99">
        <w:t xml:space="preserve">) </w:t>
      </w:r>
      <w:r w:rsidR="00664048" w:rsidRPr="00192A99">
        <w:t>81</w:t>
      </w:r>
      <w:r w:rsidR="00ED2DF7" w:rsidRPr="00192A99">
        <w:t>,</w:t>
      </w:r>
      <w:r w:rsidR="00664048" w:rsidRPr="00192A99">
        <w:t>6 y 92</w:t>
      </w:r>
      <w:r w:rsidR="00ED2DF7" w:rsidRPr="00192A99">
        <w:t>,</w:t>
      </w:r>
      <w:r w:rsidR="00664048" w:rsidRPr="00192A99">
        <w:t xml:space="preserve">5 Kg/HL y </w:t>
      </w:r>
      <w:r w:rsidR="00F46A56" w:rsidRPr="00192A99">
        <w:t>(</w:t>
      </w:r>
      <w:r w:rsidR="00557BA4">
        <w:t>IF</w:t>
      </w:r>
      <w:r w:rsidR="00F46A56" w:rsidRPr="00192A99">
        <w:t xml:space="preserve">) </w:t>
      </w:r>
      <w:r w:rsidR="00664048" w:rsidRPr="00192A99">
        <w:t>11 y 94%.</w:t>
      </w:r>
      <w:r w:rsidRPr="00192A99">
        <w:t xml:space="preserve"> </w:t>
      </w:r>
      <w:r w:rsidR="00F46A56" w:rsidRPr="00192A99">
        <w:t>Por otro lado,</w:t>
      </w:r>
      <w:r w:rsidRPr="00192A99">
        <w:t xml:space="preserve"> </w:t>
      </w:r>
      <w:r w:rsidR="009819D4" w:rsidRPr="00192A99">
        <w:t>la composición química mostró</w:t>
      </w:r>
      <w:r w:rsidR="004E5379" w:rsidRPr="00192A99">
        <w:t xml:space="preserve"> variabilidad</w:t>
      </w:r>
      <w:r w:rsidR="009819D4" w:rsidRPr="00192A99">
        <w:t xml:space="preserve"> destacand</w:t>
      </w:r>
      <w:r w:rsidR="009A05C4" w:rsidRPr="00192A99">
        <w:t>o a los cultivares CIM06 y C6006 con mayor contenido de proteína (10</w:t>
      </w:r>
      <w:r w:rsidR="00ED2DF7" w:rsidRPr="00192A99">
        <w:t>,</w:t>
      </w:r>
      <w:r w:rsidR="009A05C4" w:rsidRPr="00192A99">
        <w:t>33 y 10</w:t>
      </w:r>
      <w:r w:rsidR="00ED2DF7" w:rsidRPr="00192A99">
        <w:t>,</w:t>
      </w:r>
      <w:r w:rsidR="009A05C4" w:rsidRPr="00192A99">
        <w:t>47%). Además,</w:t>
      </w:r>
      <w:r w:rsidRPr="00192A99">
        <w:t xml:space="preserve"> </w:t>
      </w:r>
      <w:r w:rsidR="002229D4" w:rsidRPr="00192A99">
        <w:t>los</w:t>
      </w:r>
      <w:r w:rsidR="008D64CB" w:rsidRPr="00192A99">
        <w:t xml:space="preserve"> genotipos</w:t>
      </w:r>
      <w:r w:rsidR="002229D4" w:rsidRPr="00192A99">
        <w:t xml:space="preserve"> C6006 y AX882 </w:t>
      </w:r>
      <w:r w:rsidR="00337C22">
        <w:t>tuvieron</w:t>
      </w:r>
      <w:r w:rsidR="002229D4" w:rsidRPr="00192A99">
        <w:t xml:space="preserve"> el menor contenido lipídico (4</w:t>
      </w:r>
      <w:r w:rsidR="00ED2DF7" w:rsidRPr="00192A99">
        <w:t>,</w:t>
      </w:r>
      <w:r w:rsidR="002229D4" w:rsidRPr="00192A99">
        <w:t>67 y 5</w:t>
      </w:r>
      <w:r w:rsidR="00ED2DF7" w:rsidRPr="00192A99">
        <w:t>,</w:t>
      </w:r>
      <w:r w:rsidR="002229D4" w:rsidRPr="00192A99">
        <w:t xml:space="preserve">15%). </w:t>
      </w:r>
      <w:r w:rsidRPr="00192A99">
        <w:t xml:space="preserve">Correlaciones significativas </w:t>
      </w:r>
      <w:r w:rsidR="00D00B91" w:rsidRPr="00192A99">
        <w:t xml:space="preserve">(p&lt;0,05) </w:t>
      </w:r>
      <w:r w:rsidRPr="00192A99">
        <w:t xml:space="preserve">para </w:t>
      </w:r>
      <w:r w:rsidR="00557BA4">
        <w:t>IF</w:t>
      </w:r>
      <w:r w:rsidRPr="00192A99">
        <w:t xml:space="preserve"> fueron encontradas con IH (r</w:t>
      </w:r>
      <w:r w:rsidR="00337C22">
        <w:t xml:space="preserve"> </w:t>
      </w:r>
      <w:r w:rsidRPr="00192A99">
        <w:t>= 0</w:t>
      </w:r>
      <w:r w:rsidR="00D00B91" w:rsidRPr="00192A99">
        <w:t>,</w:t>
      </w:r>
      <w:r w:rsidRPr="00192A99">
        <w:t>86), AA (r</w:t>
      </w:r>
      <w:r w:rsidR="00337C22">
        <w:t xml:space="preserve"> </w:t>
      </w:r>
      <w:r w:rsidRPr="00192A99">
        <w:t>= 0</w:t>
      </w:r>
      <w:r w:rsidR="00D00B91" w:rsidRPr="00192A99">
        <w:t>,</w:t>
      </w:r>
      <w:r w:rsidRPr="00192A99">
        <w:t>84) y firmeza de la pasta (r</w:t>
      </w:r>
      <w:r w:rsidR="00337C22">
        <w:t xml:space="preserve"> </w:t>
      </w:r>
      <w:r w:rsidRPr="00192A99">
        <w:t>= -0</w:t>
      </w:r>
      <w:r w:rsidR="00D00B91" w:rsidRPr="00192A99">
        <w:t>,</w:t>
      </w:r>
      <w:r w:rsidRPr="00192A99">
        <w:t xml:space="preserve">78). </w:t>
      </w:r>
      <w:r w:rsidR="00955967" w:rsidRPr="00192A99">
        <w:t>Est</w:t>
      </w:r>
      <w:r w:rsidR="005338B3" w:rsidRPr="00192A99">
        <w:t>o se vincula</w:t>
      </w:r>
      <w:r w:rsidR="00955967" w:rsidRPr="00192A99">
        <w:t xml:space="preserve"> con la proporción de endospermo </w:t>
      </w:r>
      <w:r w:rsidR="006E6D5A" w:rsidRPr="00192A99">
        <w:t>harinoso</w:t>
      </w:r>
      <w:r w:rsidR="005338B3" w:rsidRPr="00192A99">
        <w:t xml:space="preserve"> de</w:t>
      </w:r>
      <w:r w:rsidR="00955967" w:rsidRPr="00192A99">
        <w:t xml:space="preserve"> los granos</w:t>
      </w:r>
      <w:r w:rsidR="00C90FDA" w:rsidRPr="00192A99">
        <w:t>,</w:t>
      </w:r>
      <w:r w:rsidR="00955967" w:rsidRPr="00192A99">
        <w:t xml:space="preserve"> ya que harina derivada de</w:t>
      </w:r>
      <w:r w:rsidR="006E6D5A" w:rsidRPr="00192A99">
        <w:t xml:space="preserve"> granos blandos</w:t>
      </w:r>
      <w:r w:rsidR="00C90FDA" w:rsidRPr="00192A99">
        <w:t>,</w:t>
      </w:r>
      <w:r w:rsidR="006E6D5A" w:rsidRPr="00192A99">
        <w:t xml:space="preserve"> </w:t>
      </w:r>
      <w:r w:rsidR="00955967" w:rsidRPr="00192A99">
        <w:t xml:space="preserve">absorbe más agua </w:t>
      </w:r>
      <w:r w:rsidR="006E6D5A" w:rsidRPr="00192A99">
        <w:t xml:space="preserve">durante la cocción </w:t>
      </w:r>
      <w:r w:rsidR="00955967" w:rsidRPr="00192A99">
        <w:t>y el almidón gelatiniz</w:t>
      </w:r>
      <w:r w:rsidR="006E6D5A" w:rsidRPr="00192A99">
        <w:t>a</w:t>
      </w:r>
      <w:r w:rsidR="00955967" w:rsidRPr="00192A99">
        <w:t xml:space="preserve"> en mayor proporción dando una pasta más hinchada y con menor firmeza. </w:t>
      </w:r>
      <w:r w:rsidR="006E6D5A" w:rsidRPr="00192A99">
        <w:t>Por otra parte, e</w:t>
      </w:r>
      <w:r w:rsidRPr="00192A99">
        <w:t>l peso hectolítrico se correlacionó significativamente con IH (r</w:t>
      </w:r>
      <w:r w:rsidR="00337C22">
        <w:t xml:space="preserve"> </w:t>
      </w:r>
      <w:r w:rsidRPr="00192A99">
        <w:t>= -0</w:t>
      </w:r>
      <w:r w:rsidR="00D00B91" w:rsidRPr="00192A99">
        <w:t>,</w:t>
      </w:r>
      <w:r w:rsidRPr="00192A99">
        <w:t>72), AA (r</w:t>
      </w:r>
      <w:r w:rsidR="00337C22">
        <w:t xml:space="preserve"> </w:t>
      </w:r>
      <w:r w:rsidRPr="00192A99">
        <w:t>= -0</w:t>
      </w:r>
      <w:r w:rsidR="00D00B91" w:rsidRPr="00192A99">
        <w:t>,</w:t>
      </w:r>
      <w:r w:rsidRPr="00192A99">
        <w:t xml:space="preserve">71) y </w:t>
      </w:r>
      <w:r w:rsidR="00C90FDA" w:rsidRPr="00192A99">
        <w:t xml:space="preserve">F </w:t>
      </w:r>
      <w:r w:rsidRPr="00192A99">
        <w:t>(r</w:t>
      </w:r>
      <w:r w:rsidR="00337C22">
        <w:t xml:space="preserve"> </w:t>
      </w:r>
      <w:r w:rsidRPr="00192A99">
        <w:t>= 0</w:t>
      </w:r>
      <w:r w:rsidR="00D00B91" w:rsidRPr="00192A99">
        <w:t>,</w:t>
      </w:r>
      <w:r w:rsidRPr="00192A99">
        <w:t>66). El peso de 100 granos correlacionó negativamente con la firmeza de la pasta (r</w:t>
      </w:r>
      <w:r w:rsidR="00337C22">
        <w:t xml:space="preserve"> </w:t>
      </w:r>
      <w:r w:rsidRPr="00192A99">
        <w:t>= -0</w:t>
      </w:r>
      <w:r w:rsidR="00D00B91" w:rsidRPr="00192A99">
        <w:t>,</w:t>
      </w:r>
      <w:r w:rsidRPr="00192A99">
        <w:t xml:space="preserve">48). Los genotipos CIM06 y C6006 </w:t>
      </w:r>
      <w:r w:rsidR="00EB1953" w:rsidRPr="00192A99">
        <w:t xml:space="preserve">presentaron mayor calidad de pasta </w:t>
      </w:r>
      <w:r w:rsidR="005338B3" w:rsidRPr="00192A99">
        <w:t xml:space="preserve">asociándose a </w:t>
      </w:r>
      <w:r w:rsidRPr="00192A99">
        <w:t xml:space="preserve">una mayor firmeza </w:t>
      </w:r>
      <w:r w:rsidR="00EB1953" w:rsidRPr="00192A99">
        <w:t>(21</w:t>
      </w:r>
      <w:r w:rsidR="00337C22">
        <w:t>,</w:t>
      </w:r>
      <w:r w:rsidR="00EB1953" w:rsidRPr="00192A99">
        <w:t>65 y 19</w:t>
      </w:r>
      <w:r w:rsidR="00337C22">
        <w:t>,</w:t>
      </w:r>
      <w:r w:rsidR="00EB1953" w:rsidRPr="00192A99">
        <w:t>68 N)</w:t>
      </w:r>
      <w:r w:rsidRPr="00192A99">
        <w:t>,</w:t>
      </w:r>
      <w:r w:rsidR="00EB1953" w:rsidRPr="00192A99">
        <w:t xml:space="preserve"> menor </w:t>
      </w:r>
      <w:r w:rsidR="005338B3" w:rsidRPr="00192A99">
        <w:t>IH</w:t>
      </w:r>
      <w:r w:rsidR="00EB1953" w:rsidRPr="00192A99">
        <w:t xml:space="preserve"> </w:t>
      </w:r>
      <w:r w:rsidR="005338B3" w:rsidRPr="00192A99">
        <w:t>(ambos 1</w:t>
      </w:r>
      <w:r w:rsidR="00ED2DF7" w:rsidRPr="00192A99">
        <w:t>,</w:t>
      </w:r>
      <w:r w:rsidR="005338B3" w:rsidRPr="00192A99">
        <w:t xml:space="preserve">77) </w:t>
      </w:r>
      <w:r w:rsidR="00EB1953" w:rsidRPr="00192A99">
        <w:t>y</w:t>
      </w:r>
      <w:r w:rsidR="005338B3" w:rsidRPr="00192A99">
        <w:t xml:space="preserve"> AA (134</w:t>
      </w:r>
      <w:r w:rsidR="00ED2DF7" w:rsidRPr="00192A99">
        <w:t>,</w:t>
      </w:r>
      <w:r w:rsidR="005338B3" w:rsidRPr="00192A99">
        <w:t>58 y 124</w:t>
      </w:r>
      <w:r w:rsidR="00ED2DF7" w:rsidRPr="00192A99">
        <w:t>,</w:t>
      </w:r>
      <w:r w:rsidR="005338B3" w:rsidRPr="00192A99">
        <w:t>3%)</w:t>
      </w:r>
      <w:r w:rsidRPr="00192A99">
        <w:t>.</w:t>
      </w:r>
      <w:r w:rsidR="00EB1953" w:rsidRPr="00192A99">
        <w:t xml:space="preserve"> </w:t>
      </w:r>
      <w:r w:rsidR="00ED3AC6" w:rsidRPr="00192A99">
        <w:t>Además,</w:t>
      </w:r>
      <w:r w:rsidR="00EF6A55" w:rsidRPr="00192A99">
        <w:t xml:space="preserve"> a</w:t>
      </w:r>
      <w:r w:rsidRPr="00192A99">
        <w:t xml:space="preserve"> través de </w:t>
      </w:r>
      <w:r w:rsidR="00124D2D" w:rsidRPr="00192A99">
        <w:t>las características físicas del grano</w:t>
      </w:r>
      <w:r w:rsidRPr="00192A99">
        <w:t xml:space="preserve"> es posible identificar</w:t>
      </w:r>
      <w:r w:rsidR="00ED3AC6" w:rsidRPr="00192A99">
        <w:t xml:space="preserve"> </w:t>
      </w:r>
      <w:r w:rsidR="00124D2D" w:rsidRPr="00192A99">
        <w:t xml:space="preserve">genotipos con mejor aptitud </w:t>
      </w:r>
      <w:r w:rsidR="0071394E" w:rsidRPr="00192A99">
        <w:t>para elaborar pastas de buena calidad tecnológica</w:t>
      </w:r>
      <w:r w:rsidRPr="00192A99">
        <w:t>.</w:t>
      </w:r>
      <w:r w:rsidR="00EC2FBB" w:rsidRPr="00192A99">
        <w:t xml:space="preserve"> Por esta razón,</w:t>
      </w:r>
      <w:r w:rsidRPr="00192A99">
        <w:t xml:space="preserve"> la industria </w:t>
      </w:r>
      <w:r w:rsidRPr="00192A99">
        <w:lastRenderedPageBreak/>
        <w:t xml:space="preserve">alimenticia puede recurrir a estas técnicas al momento de abastecerse de materia prima y mantener la calidad de su producto.  </w:t>
      </w:r>
      <w:r w:rsidR="00EC2FBB" w:rsidRPr="00192A99">
        <w:t xml:space="preserve"> </w:t>
      </w:r>
    </w:p>
    <w:p w14:paraId="101A7A32" w14:textId="77777777" w:rsidR="00EF6A4A" w:rsidRPr="00192A99" w:rsidRDefault="00EF6A4A">
      <w:pPr>
        <w:spacing w:after="0" w:line="240" w:lineRule="auto"/>
        <w:ind w:left="0" w:hanging="2"/>
      </w:pPr>
    </w:p>
    <w:p w14:paraId="30C23875" w14:textId="4B0A7FCA" w:rsidR="00074CA2" w:rsidRDefault="00635A22">
      <w:pPr>
        <w:spacing w:after="0" w:line="240" w:lineRule="auto"/>
        <w:ind w:left="0" w:hanging="2"/>
      </w:pPr>
      <w:r w:rsidRPr="00192A99">
        <w:t xml:space="preserve">Palabras Clave: </w:t>
      </w:r>
      <w:r w:rsidR="00EF6A4A" w:rsidRPr="00192A99">
        <w:t>maíz, industria alimenticia, celiaquía</w:t>
      </w:r>
      <w:r w:rsidR="00EF6A4A" w:rsidRPr="00EF6A4A">
        <w:t xml:space="preserve">  </w:t>
      </w:r>
    </w:p>
    <w:p w14:paraId="25FCA06B" w14:textId="77777777" w:rsidR="00074CA2" w:rsidRDefault="00074CA2">
      <w:pPr>
        <w:spacing w:after="0" w:line="240" w:lineRule="auto"/>
        <w:ind w:left="0" w:hanging="2"/>
      </w:pPr>
    </w:p>
    <w:p w14:paraId="67A30063" w14:textId="77777777" w:rsidR="00074CA2" w:rsidRDefault="00074CA2">
      <w:pPr>
        <w:spacing w:after="0" w:line="240" w:lineRule="auto"/>
        <w:ind w:left="0" w:hanging="2"/>
      </w:pPr>
    </w:p>
    <w:p w14:paraId="7352B5CC" w14:textId="77777777" w:rsidR="00074CA2" w:rsidRDefault="00074CA2">
      <w:pPr>
        <w:spacing w:after="0" w:line="240" w:lineRule="auto"/>
        <w:ind w:left="0" w:hanging="2"/>
      </w:pPr>
    </w:p>
    <w:sectPr w:rsidR="00074CA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54AE" w14:textId="77777777" w:rsidR="00CA0EB3" w:rsidRDefault="00CA0EB3">
      <w:pPr>
        <w:spacing w:after="0" w:line="240" w:lineRule="auto"/>
        <w:ind w:left="0" w:hanging="2"/>
      </w:pPr>
      <w:r>
        <w:separator/>
      </w:r>
    </w:p>
  </w:endnote>
  <w:endnote w:type="continuationSeparator" w:id="0">
    <w:p w14:paraId="43DC3D1B" w14:textId="77777777" w:rsidR="00CA0EB3" w:rsidRDefault="00CA0E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F75C" w14:textId="77777777" w:rsidR="00CA0EB3" w:rsidRDefault="00CA0EB3">
      <w:pPr>
        <w:spacing w:after="0" w:line="240" w:lineRule="auto"/>
        <w:ind w:left="0" w:hanging="2"/>
      </w:pPr>
      <w:r>
        <w:separator/>
      </w:r>
    </w:p>
  </w:footnote>
  <w:footnote w:type="continuationSeparator" w:id="0">
    <w:p w14:paraId="57D638D8" w14:textId="77777777" w:rsidR="00CA0EB3" w:rsidRDefault="00CA0EB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BC25" w14:textId="77777777" w:rsidR="00074CA2" w:rsidRDefault="00635A2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7816434" wp14:editId="09EDCE4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A2"/>
    <w:rsid w:val="0006453F"/>
    <w:rsid w:val="000669B5"/>
    <w:rsid w:val="00074CA2"/>
    <w:rsid w:val="00124D2D"/>
    <w:rsid w:val="00131B96"/>
    <w:rsid w:val="0018552E"/>
    <w:rsid w:val="00192A99"/>
    <w:rsid w:val="002229D4"/>
    <w:rsid w:val="00272AC3"/>
    <w:rsid w:val="00337C22"/>
    <w:rsid w:val="00343309"/>
    <w:rsid w:val="0038283B"/>
    <w:rsid w:val="00386A72"/>
    <w:rsid w:val="00394E6B"/>
    <w:rsid w:val="003C09F1"/>
    <w:rsid w:val="004337D8"/>
    <w:rsid w:val="004D20FF"/>
    <w:rsid w:val="004E5379"/>
    <w:rsid w:val="005338B3"/>
    <w:rsid w:val="00552FF6"/>
    <w:rsid w:val="00557BA4"/>
    <w:rsid w:val="005D7838"/>
    <w:rsid w:val="00635A22"/>
    <w:rsid w:val="00664048"/>
    <w:rsid w:val="006E6D5A"/>
    <w:rsid w:val="0071394E"/>
    <w:rsid w:val="007167FE"/>
    <w:rsid w:val="00790D9A"/>
    <w:rsid w:val="00797C8B"/>
    <w:rsid w:val="007F1C03"/>
    <w:rsid w:val="00801F4D"/>
    <w:rsid w:val="00827E57"/>
    <w:rsid w:val="008311FE"/>
    <w:rsid w:val="008D37F0"/>
    <w:rsid w:val="008D64CB"/>
    <w:rsid w:val="00955967"/>
    <w:rsid w:val="009658EF"/>
    <w:rsid w:val="009739EA"/>
    <w:rsid w:val="009819D4"/>
    <w:rsid w:val="009A05C4"/>
    <w:rsid w:val="00AD390B"/>
    <w:rsid w:val="00B46DC3"/>
    <w:rsid w:val="00C51EEA"/>
    <w:rsid w:val="00C90FDA"/>
    <w:rsid w:val="00C96708"/>
    <w:rsid w:val="00CA0EB3"/>
    <w:rsid w:val="00CD2392"/>
    <w:rsid w:val="00D00B91"/>
    <w:rsid w:val="00E27213"/>
    <w:rsid w:val="00E75DA6"/>
    <w:rsid w:val="00E767D6"/>
    <w:rsid w:val="00E95512"/>
    <w:rsid w:val="00EB1953"/>
    <w:rsid w:val="00EC2FBB"/>
    <w:rsid w:val="00ED2DF7"/>
    <w:rsid w:val="00ED3AC6"/>
    <w:rsid w:val="00EF6A4A"/>
    <w:rsid w:val="00EF6A55"/>
    <w:rsid w:val="00F4333A"/>
    <w:rsid w:val="00F46A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5EB1"/>
  <w15:docId w15:val="{1778A3CD-834C-458D-A51E-7778D68A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669B5"/>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0669B5"/>
    <w:rPr>
      <w:sz w:val="16"/>
      <w:szCs w:val="16"/>
    </w:rPr>
  </w:style>
  <w:style w:type="paragraph" w:styleId="Textocomentario">
    <w:name w:val="annotation text"/>
    <w:basedOn w:val="Normal"/>
    <w:link w:val="TextocomentarioCar"/>
    <w:uiPriority w:val="99"/>
    <w:unhideWhenUsed/>
    <w:rsid w:val="000669B5"/>
    <w:pPr>
      <w:spacing w:line="240" w:lineRule="auto"/>
    </w:pPr>
    <w:rPr>
      <w:sz w:val="20"/>
      <w:szCs w:val="20"/>
    </w:rPr>
  </w:style>
  <w:style w:type="character" w:customStyle="1" w:styleId="TextocomentarioCar">
    <w:name w:val="Texto comentario Car"/>
    <w:basedOn w:val="Fuentedeprrafopredeter"/>
    <w:link w:val="Textocomentario"/>
    <w:uiPriority w:val="99"/>
    <w:rsid w:val="000669B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669B5"/>
    <w:rPr>
      <w:b/>
      <w:bCs/>
    </w:rPr>
  </w:style>
  <w:style w:type="character" w:customStyle="1" w:styleId="AsuntodelcomentarioCar">
    <w:name w:val="Asunto del comentario Car"/>
    <w:basedOn w:val="TextocomentarioCar"/>
    <w:link w:val="Asuntodelcomentario"/>
    <w:uiPriority w:val="99"/>
    <w:semiHidden/>
    <w:rsid w:val="000669B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cp:lastModifiedBy>
  <cp:revision>2</cp:revision>
  <dcterms:created xsi:type="dcterms:W3CDTF">2022-07-22T14:12:00Z</dcterms:created>
  <dcterms:modified xsi:type="dcterms:W3CDTF">2022-07-22T14:12:00Z</dcterms:modified>
</cp:coreProperties>
</file>