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E7D62" w14:textId="16A8FF52" w:rsidR="00B47D3A" w:rsidRDefault="00AC42DD">
      <w:pPr>
        <w:pStyle w:val="Textoindependiente"/>
        <w:ind w:left="11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mc:AlternateContent>
          <mc:Choice Requires="wpg">
            <w:drawing>
              <wp:inline distT="0" distB="0" distL="0" distR="0" wp14:anchorId="5043FFFA" wp14:editId="1DF9E3E8">
                <wp:extent cx="5439410" cy="657225"/>
                <wp:effectExtent l="0" t="0" r="0" b="0"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9410" cy="657225"/>
                          <a:chOff x="0" y="0"/>
                          <a:chExt cx="8566" cy="1035"/>
                        </a:xfrm>
                      </wpg:grpSpPr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660"/>
                            <a:ext cx="856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" y="0"/>
                            <a:ext cx="1065" cy="10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566" cy="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55EC7" w14:textId="77777777" w:rsidR="00B47D3A" w:rsidRDefault="00B47D3A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2111C3AC" w14:textId="77777777" w:rsidR="00B47D3A" w:rsidRDefault="00B47D3A">
                              <w:pPr>
                                <w:spacing w:before="3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 w14:paraId="418C6CFC" w14:textId="77777777" w:rsidR="00B47D3A" w:rsidRDefault="00E415D6">
                              <w:pPr>
                                <w:ind w:left="1502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VIII Congreso Internacional de Ciencia y Tecnología de Alimentos (CICYTAC 2022)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428.3pt;height:51.75pt;mso-position-horizontal-relative:char;mso-position-vertical-relative:line" coordsize="8566,10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">
                <v:rect id="Rectangle 8" o:spid="_x0000_s1027" style="position:absolute;top:660;width:8566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36;width:1065;height:1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40Z7DAAAA2gAAAA8AAABkcnMvZG93bnJldi54bWxEj8FqwzAQRO+F/oPYQm+13BBCcaKYpFAw&#10;BErj5JLbYm1sEWvlSkpi/31VKPQ4zMwbZlWOthc38sE4VvCa5SCIG6cNtwqOh4+XNxAhImvsHZOC&#10;iQKU68eHFRba3XlPtzq2IkE4FKigi3EopAxNRxZD5gbi5J2dtxiT9K3UHu8Jbns5y/OFtGg4LXQ4&#10;0HtHzaW+WgWf/jSZyizqXjtrvpth+7Wb9ko9P42bJYhIY/wP/7UrrWAOv1fSDZDr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LjRnsMAAADaAAAADwAAAAAAAAAAAAAAAACf&#10;AgAAZHJzL2Rvd25yZXYueG1sUEsFBgAAAAAEAAQA9wAAAI8D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width:8566;height:1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14:paraId="18055EC7" w14:textId="77777777" w:rsidR="00B47D3A" w:rsidRDefault="00B47D3A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2111C3AC" w14:textId="77777777" w:rsidR="00B47D3A" w:rsidRDefault="00B47D3A">
                        <w:pPr>
                          <w:spacing w:before="3"/>
                          <w:rPr>
                            <w:rFonts w:ascii="Times New Roman"/>
                            <w:sz w:val="17"/>
                          </w:rPr>
                        </w:pPr>
                      </w:p>
                      <w:p w14:paraId="418C6CFC" w14:textId="77777777" w:rsidR="00B47D3A" w:rsidRDefault="00E415D6">
                        <w:pPr>
                          <w:ind w:left="1502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VIII Congreso Internacional de Ciencia y Tecnología de Alimentos (CICYTAC 2022)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03D1FB2" w14:textId="5CBDEC9E" w:rsidR="00B47D3A" w:rsidRDefault="00E415D6">
      <w:pPr>
        <w:pStyle w:val="Ttulo"/>
      </w:pPr>
      <w:r>
        <w:t xml:space="preserve">Optimización de la calidad microbiológica, sensorial y nutricional de un jugo de </w:t>
      </w:r>
      <w:proofErr w:type="spellStart"/>
      <w:r>
        <w:t>yacón</w:t>
      </w:r>
      <w:proofErr w:type="spellEnd"/>
      <w:r>
        <w:t xml:space="preserve"> de reducido tenor </w:t>
      </w:r>
      <w:proofErr w:type="spellStart"/>
      <w:r>
        <w:t>glucídico</w:t>
      </w:r>
      <w:proofErr w:type="spellEnd"/>
    </w:p>
    <w:p w14:paraId="53F5DCAF" w14:textId="77777777" w:rsidR="00B47D3A" w:rsidRDefault="00B47D3A">
      <w:pPr>
        <w:pStyle w:val="Textoindependiente"/>
        <w:spacing w:before="1"/>
        <w:ind w:left="0"/>
        <w:rPr>
          <w:b/>
          <w:sz w:val="23"/>
        </w:rPr>
      </w:pPr>
    </w:p>
    <w:p w14:paraId="1A200A6E" w14:textId="77777777" w:rsidR="00B47D3A" w:rsidRDefault="00E415D6">
      <w:pPr>
        <w:pStyle w:val="Textoindependiente"/>
        <w:ind w:left="305" w:right="301"/>
        <w:jc w:val="center"/>
      </w:pPr>
      <w:r>
        <w:t xml:space="preserve">González MM (1,2), Pedreira JD (1), </w:t>
      </w:r>
      <w:proofErr w:type="spellStart"/>
      <w:r>
        <w:t>Federik</w:t>
      </w:r>
      <w:proofErr w:type="spellEnd"/>
      <w:r>
        <w:t xml:space="preserve"> MA (3), Campos CA (1,2),</w:t>
      </w:r>
    </w:p>
    <w:p w14:paraId="5A3CE42B" w14:textId="77777777" w:rsidR="00B47D3A" w:rsidRDefault="00E415D6">
      <w:pPr>
        <w:pStyle w:val="Textoindependiente"/>
        <w:ind w:left="305" w:right="301"/>
        <w:jc w:val="center"/>
      </w:pPr>
      <w:proofErr w:type="spellStart"/>
      <w:r>
        <w:t>Gliemmo</w:t>
      </w:r>
      <w:proofErr w:type="spellEnd"/>
      <w:r>
        <w:t xml:space="preserve"> MF (1,2)</w:t>
      </w:r>
    </w:p>
    <w:p w14:paraId="6D0A2707" w14:textId="77777777" w:rsidR="00B47D3A" w:rsidRDefault="00B47D3A">
      <w:pPr>
        <w:pStyle w:val="Textoindependiente"/>
        <w:ind w:left="0"/>
      </w:pPr>
    </w:p>
    <w:p w14:paraId="3988167A" w14:textId="77777777" w:rsidR="00B47D3A" w:rsidRDefault="00E415D6">
      <w:pPr>
        <w:pStyle w:val="Prrafodelista"/>
        <w:numPr>
          <w:ilvl w:val="0"/>
          <w:numId w:val="1"/>
        </w:numPr>
        <w:tabs>
          <w:tab w:val="left" w:pos="503"/>
        </w:tabs>
        <w:ind w:right="549" w:firstLine="0"/>
        <w:rPr>
          <w:sz w:val="24"/>
        </w:rPr>
      </w:pPr>
      <w:r>
        <w:rPr>
          <w:sz w:val="24"/>
        </w:rPr>
        <w:t>Universidad de Buenos Aires, Facultad de Ciencias Exactas y</w:t>
      </w:r>
      <w:r>
        <w:rPr>
          <w:spacing w:val="-27"/>
          <w:sz w:val="24"/>
        </w:rPr>
        <w:t xml:space="preserve"> </w:t>
      </w:r>
      <w:r>
        <w:rPr>
          <w:sz w:val="24"/>
        </w:rPr>
        <w:t>Naturales, Departamento de Industrias. Buenos Aires,</w:t>
      </w:r>
      <w:r>
        <w:rPr>
          <w:spacing w:val="-8"/>
          <w:sz w:val="24"/>
        </w:rPr>
        <w:t xml:space="preserve"> </w:t>
      </w:r>
      <w:r>
        <w:rPr>
          <w:sz w:val="24"/>
        </w:rPr>
        <w:t>Argentina.</w:t>
      </w:r>
    </w:p>
    <w:p w14:paraId="34D3258E" w14:textId="77777777" w:rsidR="00B47D3A" w:rsidRDefault="00E415D6">
      <w:pPr>
        <w:pStyle w:val="Prrafodelista"/>
        <w:numPr>
          <w:ilvl w:val="0"/>
          <w:numId w:val="1"/>
        </w:numPr>
        <w:tabs>
          <w:tab w:val="left" w:pos="502"/>
        </w:tabs>
        <w:spacing w:before="120" w:line="242" w:lineRule="auto"/>
        <w:ind w:right="999" w:firstLine="0"/>
        <w:rPr>
          <w:sz w:val="24"/>
        </w:rPr>
      </w:pPr>
      <w:r>
        <w:rPr>
          <w:sz w:val="24"/>
        </w:rPr>
        <w:t>CONICET - Universidad de Buenos Aires, Instituto de Tecnología de Alimentos y Procesos Químicos (ITAPROQ). Buenos Aires,</w:t>
      </w:r>
      <w:r>
        <w:rPr>
          <w:spacing w:val="-18"/>
          <w:sz w:val="24"/>
        </w:rPr>
        <w:t xml:space="preserve"> </w:t>
      </w:r>
      <w:r>
        <w:rPr>
          <w:sz w:val="24"/>
        </w:rPr>
        <w:t>Argentina.</w:t>
      </w:r>
    </w:p>
    <w:p w14:paraId="23548D42" w14:textId="77777777" w:rsidR="00B47D3A" w:rsidRDefault="00E415D6">
      <w:pPr>
        <w:pStyle w:val="Prrafodelista"/>
        <w:numPr>
          <w:ilvl w:val="0"/>
          <w:numId w:val="1"/>
        </w:numPr>
        <w:tabs>
          <w:tab w:val="left" w:pos="502"/>
        </w:tabs>
        <w:spacing w:before="197" w:line="242" w:lineRule="auto"/>
        <w:ind w:firstLine="0"/>
        <w:rPr>
          <w:sz w:val="24"/>
        </w:rPr>
      </w:pPr>
      <w:r>
        <w:rPr>
          <w:sz w:val="24"/>
        </w:rPr>
        <w:t xml:space="preserve">Universidad Nacional de </w:t>
      </w:r>
      <w:proofErr w:type="spellStart"/>
      <w:r>
        <w:rPr>
          <w:sz w:val="24"/>
        </w:rPr>
        <w:t>Hurlingham</w:t>
      </w:r>
      <w:proofErr w:type="spellEnd"/>
      <w:r>
        <w:rPr>
          <w:sz w:val="24"/>
        </w:rPr>
        <w:t>, Secretaría de Investigación,</w:t>
      </w:r>
      <w:r>
        <w:rPr>
          <w:spacing w:val="-27"/>
          <w:sz w:val="24"/>
        </w:rPr>
        <w:t xml:space="preserve"> </w:t>
      </w:r>
      <w:r>
        <w:rPr>
          <w:sz w:val="24"/>
        </w:rPr>
        <w:t>Buenos Aires,</w:t>
      </w:r>
      <w:r>
        <w:rPr>
          <w:spacing w:val="-1"/>
          <w:sz w:val="24"/>
        </w:rPr>
        <w:t xml:space="preserve"> </w:t>
      </w:r>
      <w:r>
        <w:rPr>
          <w:sz w:val="24"/>
        </w:rPr>
        <w:t>Argentina.</w:t>
      </w:r>
    </w:p>
    <w:p w14:paraId="7DBBDA31" w14:textId="7D2B5571" w:rsidR="00B47D3A" w:rsidRDefault="00195410">
      <w:pPr>
        <w:pStyle w:val="Textoindependiente"/>
        <w:spacing w:before="194"/>
      </w:pPr>
      <w:hyperlink r:id="rId10">
        <w:r w:rsidR="00E415D6">
          <w:rPr>
            <w:color w:val="0000FF"/>
            <w:u w:val="single" w:color="0000FF"/>
          </w:rPr>
          <w:t>marianela.federik@unahur.edu.ar</w:t>
        </w:r>
      </w:hyperlink>
    </w:p>
    <w:p w14:paraId="2AAE7300" w14:textId="77777777" w:rsidR="00B47D3A" w:rsidRDefault="00B47D3A">
      <w:pPr>
        <w:pStyle w:val="Textoindependiente"/>
        <w:ind w:left="0"/>
        <w:rPr>
          <w:sz w:val="16"/>
        </w:rPr>
      </w:pPr>
    </w:p>
    <w:p w14:paraId="1C34874F" w14:textId="7F395213" w:rsidR="0086798A" w:rsidRDefault="00E415D6" w:rsidP="0086798A">
      <w:pPr>
        <w:pStyle w:val="Textoindependiente"/>
        <w:ind w:right="132"/>
        <w:jc w:val="both"/>
      </w:pPr>
      <w:bookmarkStart w:id="0" w:name="_GoBack"/>
      <w:r>
        <w:t xml:space="preserve">La preservación de jugos de reducido tenor </w:t>
      </w:r>
      <w:proofErr w:type="spellStart"/>
      <w:r>
        <w:t>glucídico</w:t>
      </w:r>
      <w:proofErr w:type="spellEnd"/>
      <w:r>
        <w:t xml:space="preserve"> mediante el agregado de aceites esenciales (AE) y su combinación con otros factores de estrés permiten extender la vida útil y responder a la demanda actual de alimentos seguros y naturales. Sin embargo, los AE pueden afectar las propiedades sensoriales del alimento. Por ello, se estudió la optimización de la calidad microbiológica, sensorial y nutricional de un jugo de </w:t>
      </w:r>
      <w:proofErr w:type="spellStart"/>
      <w:r>
        <w:t>yacón</w:t>
      </w:r>
      <w:proofErr w:type="spellEnd"/>
      <w:r>
        <w:t xml:space="preserve"> de reducido tenor </w:t>
      </w:r>
      <w:proofErr w:type="spellStart"/>
      <w:r>
        <w:t>glucídico</w:t>
      </w:r>
      <w:proofErr w:type="spellEnd"/>
      <w:r>
        <w:t xml:space="preserve">. Se elaboró jugo a partir de cubos de </w:t>
      </w:r>
      <w:proofErr w:type="spellStart"/>
      <w:r>
        <w:t>yacón</w:t>
      </w:r>
      <w:proofErr w:type="spellEnd"/>
      <w:r>
        <w:t xml:space="preserve"> previamente escaldados al vapor y sumergidos en ácido cítrico. El jugo se filtró, se le agregó xilitol (20,0%p/p), se ajustó el pH a 4,00 con ácido cítrico y se envasó al vacío en bolsas impermeables al vapor de agua, en alícuotas de 20,0 ml. Se elaboró una </w:t>
      </w:r>
      <w:proofErr w:type="spellStart"/>
      <w:r>
        <w:t>nanoemulsión</w:t>
      </w:r>
      <w:proofErr w:type="spellEnd"/>
      <w:r>
        <w:t xml:space="preserve"> de 30000ppm </w:t>
      </w:r>
      <w:proofErr w:type="spellStart"/>
      <w:r>
        <w:t>lemongrass</w:t>
      </w:r>
      <w:proofErr w:type="spellEnd"/>
      <w:r>
        <w:t xml:space="preserve"> (NLG) y 90000ppm Tween®80. Para la optimización microbiológica, se aplicó un diseño factorial </w:t>
      </w:r>
      <w:r>
        <w:rPr>
          <w:spacing w:val="2"/>
        </w:rPr>
        <w:t>2</w:t>
      </w:r>
      <w:r>
        <w:rPr>
          <w:spacing w:val="2"/>
          <w:vertAlign w:val="superscript"/>
        </w:rPr>
        <w:t>2</w:t>
      </w:r>
      <w:r>
        <w:rPr>
          <w:spacing w:val="2"/>
        </w:rPr>
        <w:t xml:space="preserve"> </w:t>
      </w:r>
      <w:r>
        <w:t>cuyas variables y niveles fueron la temperatura de almacenamiento (5-15°C) y la concentración de NLG (0-937,5 ppm). Las bolsas se inocularon con 10</w:t>
      </w:r>
      <w:r>
        <w:rPr>
          <w:vertAlign w:val="superscript"/>
        </w:rPr>
        <w:t>4</w:t>
      </w:r>
      <w:r>
        <w:t xml:space="preserve">UFC/ml de </w:t>
      </w:r>
      <w:proofErr w:type="spellStart"/>
      <w:r>
        <w:rPr>
          <w:i/>
        </w:rPr>
        <w:t>Zygosaccharomyces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bailii</w:t>
      </w:r>
      <w:proofErr w:type="spellEnd"/>
      <w:r>
        <w:rPr>
          <w:i/>
        </w:rPr>
        <w:t xml:space="preserve"> </w:t>
      </w:r>
      <w:r>
        <w:t xml:space="preserve">NRRL 7256. Se realizó el recuento de viables en placa a los 0-7-14-28 días de almacenamiento. Para la optimización sensorial, se realizaron diluciones seriadas (1/2-1/3-1/4) del jugo conteniendo 937,5 ppm NLG. Ochenta consumidores realizaron un test de preferencia y un test de aceptabilidad global utilizando una escala hedónica (9 puntos). Además, se determinó el índice de aceptación de las muestras (porcentaje de consumidores que evaluaron los jugos con una puntuación ≥ 6). Se determinó la composición nutricional, el contenido de </w:t>
      </w:r>
      <w:proofErr w:type="spellStart"/>
      <w:r>
        <w:t>polifenoles</w:t>
      </w:r>
      <w:proofErr w:type="spellEnd"/>
      <w:r>
        <w:t xml:space="preserve"> y la capacidad antioxidante del jugo. En ausencia de NLG, a 15°C la levadura creció hasta 6 ciclos-log al final del almacenamiento y a 5°C el crecimiento fue bajo y estable debido al efecto </w:t>
      </w:r>
      <w:proofErr w:type="gramStart"/>
      <w:r>
        <w:t>bacteriostático</w:t>
      </w:r>
      <w:proofErr w:type="gramEnd"/>
      <w:r>
        <w:t xml:space="preserve"> de la temperatura. A ambas temperaturas, la adición de NLG redujo la población inicial hasta los 14 días de almacenamiento a 15°C y hasta los 28 días a 5°C. La combinación de NLG y 5°C fue la que más redujo el crecimiento (1,3 ciclos-log). Las aceptabilidades de las diluciones 1/3 y 1/4 fueron 5,45 y 5,68, respectivamente y no fueron significativamente diferentes, pero fueron mayores que la dilución 1/2 (4,66). El 46,3% de los consumidores prefirió el jugo más diluido, seguido por la dilución 1/3 (28,7%). El</w:t>
      </w:r>
      <w:r>
        <w:rPr>
          <w:spacing w:val="25"/>
        </w:rPr>
        <w:t xml:space="preserve"> </w:t>
      </w:r>
      <w:r>
        <w:t>índice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aceptación</w:t>
      </w:r>
      <w:r>
        <w:rPr>
          <w:spacing w:val="27"/>
        </w:rPr>
        <w:t xml:space="preserve"> </w:t>
      </w:r>
      <w:r>
        <w:t>fue</w:t>
      </w:r>
      <w:r>
        <w:rPr>
          <w:spacing w:val="26"/>
        </w:rPr>
        <w:t xml:space="preserve"> </w:t>
      </w:r>
      <w:r>
        <w:t>52,5%</w:t>
      </w:r>
      <w:r>
        <w:rPr>
          <w:spacing w:val="26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57,5%</w:t>
      </w:r>
      <w:r>
        <w:rPr>
          <w:spacing w:val="27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jugo</w:t>
      </w:r>
      <w:r>
        <w:rPr>
          <w:spacing w:val="24"/>
        </w:rPr>
        <w:t xml:space="preserve"> </w:t>
      </w:r>
      <w:r>
        <w:t>diluido</w:t>
      </w:r>
      <w:r>
        <w:rPr>
          <w:spacing w:val="25"/>
        </w:rPr>
        <w:t xml:space="preserve"> </w:t>
      </w:r>
      <w:r>
        <w:t>1/3</w:t>
      </w:r>
      <w:r>
        <w:rPr>
          <w:spacing w:val="27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1/4,</w:t>
      </w:r>
      <w:r w:rsidR="0086798A">
        <w:t xml:space="preserve"> respectivamente. La composición nutricional del jugo formulado fue: 0,30±0,01% cenizas; 70,34±0,01% humedad; 0,26±0,10% proteínas; 0,27±0,05% lípidos; 18,03±0,01% de fibra </w:t>
      </w:r>
      <w:proofErr w:type="spellStart"/>
      <w:r w:rsidR="0086798A">
        <w:t>dietaria</w:t>
      </w:r>
      <w:proofErr w:type="spellEnd"/>
      <w:r w:rsidR="0086798A">
        <w:t xml:space="preserve"> total (</w:t>
      </w:r>
      <w:proofErr w:type="spellStart"/>
      <w:r w:rsidR="0086798A">
        <w:t>fructooligosacáridos</w:t>
      </w:r>
      <w:proofErr w:type="spellEnd"/>
      <w:r w:rsidR="0086798A">
        <w:t xml:space="preserve">- 18,03±0,01% y fibra </w:t>
      </w:r>
      <w:proofErr w:type="spellStart"/>
      <w:r w:rsidR="0086798A">
        <w:t>dietaria</w:t>
      </w:r>
      <w:proofErr w:type="spellEnd"/>
      <w:r w:rsidR="0086798A">
        <w:t xml:space="preserve"> insoluble-1,10±0,03%); 10,80±0,01% hidratos de carbono. El contenido de compuestos fenólicos fue 1,31±0,03 mg ácido gálico/g jugo y la capacidad antioxidante fue 78,24±0,86% inhibición de DPPH. Se logró formular un jugo de </w:t>
      </w:r>
      <w:proofErr w:type="spellStart"/>
      <w:r w:rsidR="0086798A">
        <w:t>yacón</w:t>
      </w:r>
      <w:proofErr w:type="spellEnd"/>
      <w:r w:rsidR="0086798A">
        <w:t xml:space="preserve"> conteniendo 937,5 ppm NLG y 20,0%p/p xilitol, el cual resultó ser </w:t>
      </w:r>
      <w:r w:rsidR="0086798A">
        <w:lastRenderedPageBreak/>
        <w:t xml:space="preserve">microbiológicamente estable por 28 días a 5°C y potencialmente funcional debido a su contenido de </w:t>
      </w:r>
      <w:proofErr w:type="spellStart"/>
      <w:r w:rsidR="0086798A">
        <w:t>fructooligosacáridos</w:t>
      </w:r>
      <w:proofErr w:type="spellEnd"/>
      <w:r w:rsidR="0086798A">
        <w:t xml:space="preserve"> y compuestos fenólicos. Además, una dilución 1/3 o 1/4 de este jugo permitiría obtener una bebida aceptable por consumidores.</w:t>
      </w:r>
    </w:p>
    <w:p w14:paraId="1C36D941" w14:textId="77777777" w:rsidR="0086798A" w:rsidRDefault="0086798A" w:rsidP="0086798A">
      <w:pPr>
        <w:pStyle w:val="Textoindependiente"/>
        <w:ind w:right="132"/>
        <w:jc w:val="both"/>
      </w:pPr>
    </w:p>
    <w:p w14:paraId="5DB5875F" w14:textId="6A99DA0C" w:rsidR="00B47D3A" w:rsidRDefault="00AC42DD" w:rsidP="0086798A">
      <w:pPr>
        <w:pStyle w:val="Textoindependiente"/>
        <w:ind w:right="132"/>
        <w:jc w:val="both"/>
      </w:pPr>
      <w:r>
        <w:t xml:space="preserve">Palabras </w:t>
      </w:r>
      <w:r w:rsidRPr="00511F31">
        <w:t>Clave: aceptabilidad global</w:t>
      </w:r>
      <w:r w:rsidR="0086798A" w:rsidRPr="00511F31">
        <w:t xml:space="preserve">, xilitol, </w:t>
      </w:r>
      <w:proofErr w:type="spellStart"/>
      <w:r w:rsidR="0086798A" w:rsidRPr="00511F31">
        <w:t>lemongrass</w:t>
      </w:r>
      <w:proofErr w:type="spellEnd"/>
      <w:r w:rsidR="0086798A" w:rsidRPr="00511F31">
        <w:t xml:space="preserve">, </w:t>
      </w:r>
      <w:proofErr w:type="spellStart"/>
      <w:r w:rsidR="0086798A" w:rsidRPr="00511F31">
        <w:rPr>
          <w:i/>
          <w:iCs/>
        </w:rPr>
        <w:t>Zygosaccharomyces</w:t>
      </w:r>
      <w:proofErr w:type="spellEnd"/>
      <w:r w:rsidR="0086798A" w:rsidRPr="00511F31">
        <w:rPr>
          <w:i/>
          <w:iCs/>
        </w:rPr>
        <w:t xml:space="preserve"> </w:t>
      </w:r>
      <w:proofErr w:type="spellStart"/>
      <w:r w:rsidR="0086798A" w:rsidRPr="00511F31">
        <w:rPr>
          <w:i/>
          <w:iCs/>
        </w:rPr>
        <w:t>bailii</w:t>
      </w:r>
      <w:proofErr w:type="spellEnd"/>
      <w:r w:rsidR="0086798A" w:rsidRPr="00511F31">
        <w:t>.</w:t>
      </w:r>
      <w:bookmarkEnd w:id="0"/>
    </w:p>
    <w:sectPr w:rsidR="00B47D3A">
      <w:headerReference w:type="default" r:id="rId11"/>
      <w:type w:val="continuous"/>
      <w:pgSz w:w="11910" w:h="16850"/>
      <w:pgMar w:top="360" w:right="1560" w:bottom="280" w:left="1560" w:header="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CB6BE9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A6428" w16cex:dateUtc="2022-08-07T19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B6BE97" w16cid:durableId="269A642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8A800" w14:textId="77777777" w:rsidR="00195410" w:rsidRDefault="00195410">
      <w:r>
        <w:separator/>
      </w:r>
    </w:p>
  </w:endnote>
  <w:endnote w:type="continuationSeparator" w:id="0">
    <w:p w14:paraId="0E577C1F" w14:textId="77777777" w:rsidR="00195410" w:rsidRDefault="0019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D25A1A" w14:textId="77777777" w:rsidR="00195410" w:rsidRDefault="00195410">
      <w:r>
        <w:separator/>
      </w:r>
    </w:p>
  </w:footnote>
  <w:footnote w:type="continuationSeparator" w:id="0">
    <w:p w14:paraId="7B24DA92" w14:textId="77777777" w:rsidR="00195410" w:rsidRDefault="00195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FF771" w14:textId="77777777" w:rsidR="00B47D3A" w:rsidRDefault="00E415D6">
    <w:pPr>
      <w:pStyle w:val="Textoindependiente"/>
      <w:spacing w:line="14" w:lineRule="auto"/>
      <w:ind w:left="0"/>
      <w:rPr>
        <w:sz w:val="2"/>
      </w:rPr>
    </w:pPr>
    <w:r>
      <w:rPr>
        <w:noProof/>
        <w:lang w:eastAsia="es-ES"/>
      </w:rPr>
      <w:drawing>
        <wp:anchor distT="0" distB="0" distL="0" distR="0" simplePos="0" relativeHeight="487553024" behindDoc="1" locked="0" layoutInCell="1" allowOverlap="1" wp14:anchorId="5E19E6E7" wp14:editId="22BC1891">
          <wp:simplePos x="0" y="0"/>
          <wp:positionH relativeFrom="page">
            <wp:posOffset>1827504</wp:posOffset>
          </wp:positionH>
          <wp:positionV relativeFrom="page">
            <wp:posOffset>3419830</wp:posOffset>
          </wp:positionV>
          <wp:extent cx="3905554" cy="390555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05554" cy="39055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60750"/>
    <w:multiLevelType w:val="hybridMultilevel"/>
    <w:tmpl w:val="79147216"/>
    <w:lvl w:ilvl="0" w:tplc="4216B8CC">
      <w:start w:val="1"/>
      <w:numFmt w:val="decimal"/>
      <w:lvlText w:val="(%1)"/>
      <w:lvlJc w:val="left"/>
      <w:pPr>
        <w:ind w:left="142" w:hanging="361"/>
        <w:jc w:val="left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n-US" w:bidi="ar-SA"/>
      </w:rPr>
    </w:lvl>
    <w:lvl w:ilvl="1" w:tplc="1A545BEE">
      <w:numFmt w:val="bullet"/>
      <w:lvlText w:val="•"/>
      <w:lvlJc w:val="left"/>
      <w:pPr>
        <w:ind w:left="1004" w:hanging="361"/>
      </w:pPr>
      <w:rPr>
        <w:rFonts w:hint="default"/>
        <w:lang w:val="es-ES" w:eastAsia="en-US" w:bidi="ar-SA"/>
      </w:rPr>
    </w:lvl>
    <w:lvl w:ilvl="2" w:tplc="3FC61B42">
      <w:numFmt w:val="bullet"/>
      <w:lvlText w:val="•"/>
      <w:lvlJc w:val="left"/>
      <w:pPr>
        <w:ind w:left="1869" w:hanging="361"/>
      </w:pPr>
      <w:rPr>
        <w:rFonts w:hint="default"/>
        <w:lang w:val="es-ES" w:eastAsia="en-US" w:bidi="ar-SA"/>
      </w:rPr>
    </w:lvl>
    <w:lvl w:ilvl="3" w:tplc="22F0ADB6">
      <w:numFmt w:val="bullet"/>
      <w:lvlText w:val="•"/>
      <w:lvlJc w:val="left"/>
      <w:pPr>
        <w:ind w:left="2733" w:hanging="361"/>
      </w:pPr>
      <w:rPr>
        <w:rFonts w:hint="default"/>
        <w:lang w:val="es-ES" w:eastAsia="en-US" w:bidi="ar-SA"/>
      </w:rPr>
    </w:lvl>
    <w:lvl w:ilvl="4" w:tplc="D3F60C4E">
      <w:numFmt w:val="bullet"/>
      <w:lvlText w:val="•"/>
      <w:lvlJc w:val="left"/>
      <w:pPr>
        <w:ind w:left="3598" w:hanging="361"/>
      </w:pPr>
      <w:rPr>
        <w:rFonts w:hint="default"/>
        <w:lang w:val="es-ES" w:eastAsia="en-US" w:bidi="ar-SA"/>
      </w:rPr>
    </w:lvl>
    <w:lvl w:ilvl="5" w:tplc="5B5C4828">
      <w:numFmt w:val="bullet"/>
      <w:lvlText w:val="•"/>
      <w:lvlJc w:val="left"/>
      <w:pPr>
        <w:ind w:left="4463" w:hanging="361"/>
      </w:pPr>
      <w:rPr>
        <w:rFonts w:hint="default"/>
        <w:lang w:val="es-ES" w:eastAsia="en-US" w:bidi="ar-SA"/>
      </w:rPr>
    </w:lvl>
    <w:lvl w:ilvl="6" w:tplc="843C8BF8">
      <w:numFmt w:val="bullet"/>
      <w:lvlText w:val="•"/>
      <w:lvlJc w:val="left"/>
      <w:pPr>
        <w:ind w:left="5327" w:hanging="361"/>
      </w:pPr>
      <w:rPr>
        <w:rFonts w:hint="default"/>
        <w:lang w:val="es-ES" w:eastAsia="en-US" w:bidi="ar-SA"/>
      </w:rPr>
    </w:lvl>
    <w:lvl w:ilvl="7" w:tplc="38AEBA4E">
      <w:numFmt w:val="bullet"/>
      <w:lvlText w:val="•"/>
      <w:lvlJc w:val="left"/>
      <w:pPr>
        <w:ind w:left="6192" w:hanging="361"/>
      </w:pPr>
      <w:rPr>
        <w:rFonts w:hint="default"/>
        <w:lang w:val="es-ES" w:eastAsia="en-US" w:bidi="ar-SA"/>
      </w:rPr>
    </w:lvl>
    <w:lvl w:ilvl="8" w:tplc="CEC26860">
      <w:numFmt w:val="bullet"/>
      <w:lvlText w:val="•"/>
      <w:lvlJc w:val="left"/>
      <w:pPr>
        <w:ind w:left="7057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el López">
    <w15:presenceInfo w15:providerId="Windows Live" w15:userId="8b33dcdd2cee29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3A"/>
    <w:rsid w:val="00195410"/>
    <w:rsid w:val="00511F31"/>
    <w:rsid w:val="007C2EDA"/>
    <w:rsid w:val="0086798A"/>
    <w:rsid w:val="00AC42DD"/>
    <w:rsid w:val="00B47D3A"/>
    <w:rsid w:val="00E4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005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2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305" w:right="303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42" w:right="402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86798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798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798A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798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798A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42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42DD"/>
    <w:rPr>
      <w:rFonts w:ascii="Tahoma" w:eastAsia="Arial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2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305" w:right="303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42" w:right="402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86798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798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798A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798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798A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42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42DD"/>
    <w:rPr>
      <w:rFonts w:ascii="Tahoma" w:eastAsia="Arial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marianela.federik@unahur.edu.a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marianela federik</cp:lastModifiedBy>
  <cp:revision>2</cp:revision>
  <dcterms:created xsi:type="dcterms:W3CDTF">2022-08-11T02:12:00Z</dcterms:created>
  <dcterms:modified xsi:type="dcterms:W3CDTF">2022-08-11T02:12:00Z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2022-08-07T00:00:00Z</vt:filetime>
  </property>
</Properties>
</file>