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C16A7" w14:textId="77777777" w:rsidR="00480653" w:rsidRDefault="007D55F4">
      <w:pPr>
        <w:pStyle w:val="Textoindependiente"/>
        <w:ind w:left="110"/>
        <w:rPr>
          <w:rFonts w:ascii="Times New Roman"/>
          <w:sz w:val="20"/>
        </w:rPr>
      </w:pPr>
      <w:r>
        <w:rPr>
          <w:rFonts w:ascii="Times New Roman"/>
          <w:sz w:val="20"/>
        </w:rPr>
      </w:r>
      <w:r>
        <w:rPr>
          <w:rFonts w:ascii="Times New Roman"/>
          <w:sz w:val="20"/>
        </w:rPr>
        <w:pict w14:anchorId="00E05DA5">
          <v:group id="_x0000_s1026" style="width:428.4pt;height:51.75pt;mso-position-horizontal-relative:char;mso-position-vertical-relative:line" coordsize="8568,1035">
            <v:rect id="_x0000_s1029" style="position:absolute;top:662;width:8568;height: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9;width:1065;height:1035">
              <v:imagedata r:id="rId8" o:title=""/>
            </v:shape>
            <v:shapetype id="_x0000_t202" coordsize="21600,21600" o:spt="202" path="m,l,21600r21600,l21600,xe">
              <v:stroke joinstyle="miter"/>
              <v:path gradientshapeok="t" o:connecttype="rect"/>
            </v:shapetype>
            <v:shape id="_x0000_s1027" type="#_x0000_t202" style="position:absolute;width:8568;height:1035" filled="f" stroked="f">
              <v:textbox inset="0,0,0,0">
                <w:txbxContent>
                  <w:p w14:paraId="0F6F27E0" w14:textId="77777777" w:rsidR="00480653" w:rsidRDefault="00480653">
                    <w:pPr>
                      <w:rPr>
                        <w:rFonts w:ascii="Times New Roman"/>
                        <w:sz w:val="20"/>
                      </w:rPr>
                    </w:pPr>
                  </w:p>
                  <w:p w14:paraId="3659825C" w14:textId="77777777" w:rsidR="00480653" w:rsidRDefault="00480653">
                    <w:pPr>
                      <w:spacing w:before="8"/>
                      <w:rPr>
                        <w:rFonts w:ascii="Times New Roman"/>
                        <w:sz w:val="17"/>
                      </w:rPr>
                    </w:pPr>
                  </w:p>
                  <w:p w14:paraId="22EACFED" w14:textId="77777777" w:rsidR="00480653" w:rsidRDefault="000B1031">
                    <w:pPr>
                      <w:ind w:left="1504"/>
                      <w:rPr>
                        <w:b/>
                        <w:i/>
                        <w:sz w:val="18"/>
                      </w:rPr>
                    </w:pPr>
                    <w:r>
                      <w:rPr>
                        <w:b/>
                        <w:i/>
                        <w:sz w:val="18"/>
                      </w:rPr>
                      <w:t>VIII Congreso Internacional de Ciencia y Tecnología de Alimentos (CICYTAC 2022)</w:t>
                    </w:r>
                  </w:p>
                </w:txbxContent>
              </v:textbox>
            </v:shape>
            <w10:wrap type="none"/>
            <w10:anchorlock/>
          </v:group>
        </w:pict>
      </w:r>
    </w:p>
    <w:p w14:paraId="39BDC721" w14:textId="77777777" w:rsidR="00480653" w:rsidRDefault="000B1031">
      <w:pPr>
        <w:pStyle w:val="Ttulo"/>
        <w:spacing w:line="242" w:lineRule="auto"/>
      </w:pPr>
      <w:r>
        <w:t>Eficiencia del hipoclorito de sodio como agente desinfectante sobre levaduras de interés industrial</w:t>
      </w:r>
    </w:p>
    <w:p w14:paraId="408D1B40" w14:textId="77777777" w:rsidR="00480653" w:rsidRDefault="00480653">
      <w:pPr>
        <w:pStyle w:val="Textoindependiente"/>
        <w:spacing w:before="5"/>
        <w:ind w:left="0"/>
        <w:rPr>
          <w:b/>
          <w:sz w:val="23"/>
        </w:rPr>
      </w:pPr>
    </w:p>
    <w:p w14:paraId="005B2D10" w14:textId="77777777" w:rsidR="00480653" w:rsidRDefault="000B1031">
      <w:pPr>
        <w:pStyle w:val="Textoindependiente"/>
        <w:ind w:left="500" w:right="500"/>
        <w:jc w:val="center"/>
      </w:pPr>
      <w:proofErr w:type="spellStart"/>
      <w:r>
        <w:t>Marucci</w:t>
      </w:r>
      <w:proofErr w:type="spellEnd"/>
      <w:r>
        <w:t xml:space="preserve"> PL (1), Tarifa MC (2,3), Agustín </w:t>
      </w:r>
      <w:proofErr w:type="spellStart"/>
      <w:r>
        <w:t>MdR</w:t>
      </w:r>
      <w:proofErr w:type="spellEnd"/>
      <w:r>
        <w:t xml:space="preserve"> (1,4), </w:t>
      </w:r>
      <w:proofErr w:type="spellStart"/>
      <w:r>
        <w:t>Brugnoni</w:t>
      </w:r>
      <w:proofErr w:type="spellEnd"/>
      <w:r>
        <w:t xml:space="preserve"> LI (1,4)</w:t>
      </w:r>
    </w:p>
    <w:p w14:paraId="44DC64E0" w14:textId="77777777" w:rsidR="00480653" w:rsidRDefault="00480653">
      <w:pPr>
        <w:pStyle w:val="Textoindependiente"/>
        <w:spacing w:before="5"/>
        <w:ind w:left="0"/>
      </w:pPr>
    </w:p>
    <w:p w14:paraId="5616C9B4" w14:textId="77777777" w:rsidR="00480653" w:rsidRDefault="000B1031" w:rsidP="00E36C97">
      <w:pPr>
        <w:pStyle w:val="Prrafodelista"/>
        <w:numPr>
          <w:ilvl w:val="0"/>
          <w:numId w:val="2"/>
        </w:numPr>
        <w:tabs>
          <w:tab w:val="left" w:pos="500"/>
        </w:tabs>
        <w:spacing w:before="0" w:after="120"/>
        <w:ind w:left="148" w:right="892" w:hanging="6"/>
        <w:rPr>
          <w:sz w:val="24"/>
        </w:rPr>
      </w:pPr>
      <w:r>
        <w:rPr>
          <w:sz w:val="24"/>
        </w:rPr>
        <w:t>Departamento de Biología, Bioquímica y Farmacia de la Universidad Nacional del Sur (UNS), 12 de octubre 991, Bahía Blanca, Buenos Aires, Argentina.</w:t>
      </w:r>
    </w:p>
    <w:p w14:paraId="4344EEEF" w14:textId="6AEDC20E" w:rsidR="00480653" w:rsidRDefault="000B1031" w:rsidP="00E36C97">
      <w:pPr>
        <w:pStyle w:val="Prrafodelista"/>
        <w:numPr>
          <w:ilvl w:val="0"/>
          <w:numId w:val="2"/>
        </w:numPr>
        <w:tabs>
          <w:tab w:val="left" w:pos="500"/>
        </w:tabs>
        <w:spacing w:before="0" w:after="120" w:line="244" w:lineRule="auto"/>
        <w:ind w:left="148" w:right="260" w:hanging="6"/>
        <w:rPr>
          <w:sz w:val="24"/>
        </w:rPr>
      </w:pPr>
      <w:r>
        <w:rPr>
          <w:sz w:val="24"/>
        </w:rPr>
        <w:t>Universidad Nacional de Río Negro</w:t>
      </w:r>
      <w:r w:rsidR="003A2F6B">
        <w:rPr>
          <w:sz w:val="24"/>
        </w:rPr>
        <w:t xml:space="preserve"> (UNRN)</w:t>
      </w:r>
      <w:r>
        <w:rPr>
          <w:sz w:val="24"/>
        </w:rPr>
        <w:t>, 9 de julio 446, Villa Regina, Río</w:t>
      </w:r>
      <w:r>
        <w:rPr>
          <w:spacing w:val="-27"/>
          <w:sz w:val="24"/>
        </w:rPr>
        <w:t xml:space="preserve"> </w:t>
      </w:r>
      <w:r>
        <w:rPr>
          <w:sz w:val="24"/>
        </w:rPr>
        <w:t>Negro, Argentina.</w:t>
      </w:r>
    </w:p>
    <w:p w14:paraId="7AE23711" w14:textId="4AD4D358" w:rsidR="00480653" w:rsidRPr="003A2F6B" w:rsidRDefault="000B1031" w:rsidP="00E36C97">
      <w:pPr>
        <w:pStyle w:val="Prrafodelista"/>
        <w:numPr>
          <w:ilvl w:val="0"/>
          <w:numId w:val="1"/>
        </w:numPr>
        <w:tabs>
          <w:tab w:val="left" w:pos="500"/>
        </w:tabs>
        <w:spacing w:before="0" w:after="120" w:line="244" w:lineRule="auto"/>
        <w:ind w:left="148" w:right="532" w:hanging="6"/>
        <w:rPr>
          <w:sz w:val="24"/>
        </w:rPr>
      </w:pPr>
      <w:r w:rsidRPr="003A2F6B">
        <w:rPr>
          <w:sz w:val="24"/>
        </w:rPr>
        <w:t>Centro de Investigaciones y Transferencia de Río Negro (CIT Río Negro, CONICET-UNRN), 9 de julio 446, Villa Regina, Río Negro,</w:t>
      </w:r>
      <w:r w:rsidRPr="003A2F6B">
        <w:rPr>
          <w:spacing w:val="-9"/>
          <w:sz w:val="24"/>
        </w:rPr>
        <w:t xml:space="preserve"> </w:t>
      </w:r>
      <w:r w:rsidRPr="003A2F6B">
        <w:rPr>
          <w:sz w:val="24"/>
        </w:rPr>
        <w:t>Argentina.</w:t>
      </w:r>
    </w:p>
    <w:p w14:paraId="53677A31" w14:textId="77777777" w:rsidR="00480653" w:rsidRDefault="000B1031" w:rsidP="00E36C97">
      <w:pPr>
        <w:pStyle w:val="Prrafodelista"/>
        <w:numPr>
          <w:ilvl w:val="0"/>
          <w:numId w:val="1"/>
        </w:numPr>
        <w:tabs>
          <w:tab w:val="left" w:pos="500"/>
        </w:tabs>
        <w:spacing w:before="0" w:after="200"/>
        <w:ind w:left="148" w:right="221" w:hanging="6"/>
        <w:rPr>
          <w:sz w:val="24"/>
        </w:rPr>
      </w:pPr>
      <w:r>
        <w:rPr>
          <w:sz w:val="24"/>
        </w:rPr>
        <w:t>Instituto de Ciencias Biológicas y Biomédicas del Sur (INBISUR, CONICET- UNS), 12 de octubre 991, Bahía Blanca, Buenos Aires,</w:t>
      </w:r>
      <w:r>
        <w:rPr>
          <w:spacing w:val="-14"/>
          <w:sz w:val="24"/>
        </w:rPr>
        <w:t xml:space="preserve"> </w:t>
      </w:r>
      <w:r>
        <w:rPr>
          <w:sz w:val="24"/>
        </w:rPr>
        <w:t>Argentina.</w:t>
      </w:r>
    </w:p>
    <w:p w14:paraId="57098826" w14:textId="7CA852EE" w:rsidR="00480653" w:rsidRDefault="00E36C97" w:rsidP="00E36C97">
      <w:pPr>
        <w:pStyle w:val="Textoindependiente"/>
        <w:ind w:left="139" w:right="4092"/>
      </w:pPr>
      <w:r w:rsidRPr="00E36C97">
        <w:t>pmarucci@uns.edu.ar</w:t>
      </w:r>
    </w:p>
    <w:p w14:paraId="75DA5FF7" w14:textId="77777777" w:rsidR="00E36C97" w:rsidRDefault="00E36C97" w:rsidP="00E36C97">
      <w:pPr>
        <w:pStyle w:val="Textoindependiente"/>
        <w:ind w:left="139" w:right="4092"/>
      </w:pPr>
    </w:p>
    <w:p w14:paraId="603903E2" w14:textId="72F1B052" w:rsidR="00E36C97" w:rsidRDefault="000B1031" w:rsidP="00E36C97">
      <w:pPr>
        <w:pStyle w:val="Textoindependiente"/>
        <w:spacing w:line="242" w:lineRule="auto"/>
        <w:ind w:right="133" w:hanging="3"/>
        <w:jc w:val="both"/>
      </w:pPr>
      <w:r>
        <w:t xml:space="preserve">La formación de biofilms en las industrias procesadoras de alimentos es un problema recurrente, siendo las levaduras las principales colonizadoras en las empresas productoras de jugos de frutas. Tradicionalmente el hipoclorito de sodio (NaClO) ha sido utilizado como agente desinfectante a gran escala debido a su bajo costo, facilidad de aplicación y amplio espectro de eficacia. Sin embargo, su uso en concentraciones inadecuadas puede llevar a que los protocolos de desinfección no sean efectivos, generando concentraciones sub- inhibitorias que puedan originar con el tiempo </w:t>
      </w:r>
      <w:proofErr w:type="spellStart"/>
      <w:r>
        <w:t>clusters</w:t>
      </w:r>
      <w:proofErr w:type="spellEnd"/>
      <w:r>
        <w:t xml:space="preserve"> de células resistentes. El objetivo fue determinar la concentración mínima inhibitoria de</w:t>
      </w:r>
      <w:r w:rsidR="00E21F7B">
        <w:t>l</w:t>
      </w:r>
      <w:r>
        <w:t xml:space="preserve"> </w:t>
      </w:r>
      <w:proofErr w:type="spellStart"/>
      <w:r>
        <w:t>NaOCl</w:t>
      </w:r>
      <w:proofErr w:type="spellEnd"/>
      <w:r>
        <w:t xml:space="preserve"> sobre cultivos planctónicos de levaduras. Se utilizaron cuatro especies: </w:t>
      </w:r>
      <w:proofErr w:type="spellStart"/>
      <w:r>
        <w:rPr>
          <w:i/>
        </w:rPr>
        <w:t>Candida</w:t>
      </w:r>
      <w:proofErr w:type="spellEnd"/>
      <w:r>
        <w:rPr>
          <w:i/>
        </w:rPr>
        <w:t xml:space="preserve"> </w:t>
      </w:r>
      <w:proofErr w:type="spellStart"/>
      <w:r>
        <w:rPr>
          <w:i/>
        </w:rPr>
        <w:t>tropicalis</w:t>
      </w:r>
      <w:proofErr w:type="spellEnd"/>
      <w:r>
        <w:t xml:space="preserve">, </w:t>
      </w:r>
      <w:proofErr w:type="spellStart"/>
      <w:r>
        <w:rPr>
          <w:i/>
        </w:rPr>
        <w:t>Candida</w:t>
      </w:r>
      <w:proofErr w:type="spellEnd"/>
      <w:r>
        <w:rPr>
          <w:i/>
        </w:rPr>
        <w:t xml:space="preserve"> </w:t>
      </w:r>
      <w:proofErr w:type="spellStart"/>
      <w:r>
        <w:rPr>
          <w:i/>
        </w:rPr>
        <w:t>krusei</w:t>
      </w:r>
      <w:proofErr w:type="spellEnd"/>
      <w:r>
        <w:t xml:space="preserve">, </w:t>
      </w:r>
      <w:proofErr w:type="spellStart"/>
      <w:r>
        <w:rPr>
          <w:i/>
        </w:rPr>
        <w:t>Candida</w:t>
      </w:r>
      <w:proofErr w:type="spellEnd"/>
      <w:r>
        <w:rPr>
          <w:i/>
        </w:rPr>
        <w:t xml:space="preserve"> </w:t>
      </w:r>
      <w:proofErr w:type="spellStart"/>
      <w:r>
        <w:rPr>
          <w:i/>
        </w:rPr>
        <w:t>kefyr</w:t>
      </w:r>
      <w:proofErr w:type="spellEnd"/>
      <w:r>
        <w:rPr>
          <w:i/>
        </w:rPr>
        <w:t xml:space="preserve"> </w:t>
      </w:r>
      <w:r>
        <w:t xml:space="preserve">y </w:t>
      </w:r>
      <w:proofErr w:type="spellStart"/>
      <w:r>
        <w:rPr>
          <w:i/>
        </w:rPr>
        <w:t>Rhodotorula</w:t>
      </w:r>
      <w:proofErr w:type="spellEnd"/>
      <w:r>
        <w:rPr>
          <w:i/>
        </w:rPr>
        <w:t xml:space="preserve"> mucilaginosa </w:t>
      </w:r>
      <w:r>
        <w:t>aisladas de membranas de ultrafiltración de una planta productora de jugo de manzana y pera radicada en el Alto Valle de Río Negro y Neuquén. Los ensayos se llevaron a cabo utilizando el método de microdilución. En cada pocill</w:t>
      </w:r>
      <w:r w:rsidR="00E21F7B">
        <w:t xml:space="preserve">o se pusieron en contacto 180 </w:t>
      </w:r>
      <w:proofErr w:type="spellStart"/>
      <w:r w:rsidR="00E21F7B">
        <w:t>μL</w:t>
      </w:r>
      <w:proofErr w:type="spellEnd"/>
      <w:r>
        <w:t xml:space="preserve"> de la suspensión ajustada (10</w:t>
      </w:r>
      <w:r>
        <w:rPr>
          <w:vertAlign w:val="superscript"/>
        </w:rPr>
        <w:t>5</w:t>
      </w:r>
      <w:r>
        <w:t xml:space="preserve"> UFC/</w:t>
      </w:r>
      <w:proofErr w:type="spellStart"/>
      <w:r>
        <w:t>mL</w:t>
      </w:r>
      <w:proofErr w:type="spellEnd"/>
      <w:r>
        <w:t>) de cada especie de</w:t>
      </w:r>
      <w:r w:rsidR="00201F1A">
        <w:t xml:space="preserve"> levadura por separado con 20 </w:t>
      </w:r>
      <w:proofErr w:type="spellStart"/>
      <w:r w:rsidR="00201F1A">
        <w:t>μL</w:t>
      </w:r>
      <w:proofErr w:type="spellEnd"/>
      <w:r>
        <w:t xml:space="preserve"> del desinfectante en distintas concentraciones (50, 150, 200, 300, 400 y 500 ppm), durante 5, 10, 15 y 30 minutos, determinándose la eficiencia microbiocida (EM), expresada en porcentaje. Transcurrido el tiempo de contacto se extrajeron 100 </w:t>
      </w:r>
      <w:r>
        <w:rPr>
          <w:spacing w:val="2"/>
        </w:rPr>
        <w:t>µ</w:t>
      </w:r>
      <w:r w:rsidR="00201F1A">
        <w:rPr>
          <w:spacing w:val="2"/>
        </w:rPr>
        <w:t>L</w:t>
      </w:r>
      <w:r>
        <w:rPr>
          <w:spacing w:val="2"/>
        </w:rPr>
        <w:t xml:space="preserve"> </w:t>
      </w:r>
      <w:r>
        <w:t xml:space="preserve">de cada pocillo y se colocaron en tubos tipo </w:t>
      </w:r>
      <w:proofErr w:type="spellStart"/>
      <w:r>
        <w:t>eppendorf</w:t>
      </w:r>
      <w:proofErr w:type="spellEnd"/>
      <w:r>
        <w:t xml:space="preserve"> con 900 </w:t>
      </w:r>
      <w:r>
        <w:rPr>
          <w:spacing w:val="2"/>
        </w:rPr>
        <w:t>µ</w:t>
      </w:r>
      <w:r w:rsidR="00201F1A">
        <w:rPr>
          <w:spacing w:val="2"/>
        </w:rPr>
        <w:t>L</w:t>
      </w:r>
      <w:r>
        <w:rPr>
          <w:spacing w:val="2"/>
        </w:rPr>
        <w:t xml:space="preserve"> </w:t>
      </w:r>
      <w:r>
        <w:t>de solución buffer fosfato con 0,2% (p/v) de tiosulfato de sodio como agente neutralizante. Para los recuentos se utilizó agar glucosa-extracto de levadura-cloranfenicol (YGC) cultivándose durante 48 h a 25 ± 1ºC. Cada condición se analizó por</w:t>
      </w:r>
      <w:r>
        <w:rPr>
          <w:spacing w:val="-22"/>
        </w:rPr>
        <w:t xml:space="preserve"> </w:t>
      </w:r>
      <w:r>
        <w:t>duplicado.</w:t>
      </w:r>
      <w:r w:rsidR="00E36C97">
        <w:t xml:space="preserve"> Se observó que la EM del NaClO a 50, 150 y 200 ppm varió entre 13% (5 min) y 46% (30 min), independientemente de la especie. A concentraciones mayores el comportamiento varió en función de la especie, observándose una EM del 56% para </w:t>
      </w:r>
      <w:r w:rsidR="00E36C97" w:rsidRPr="001A1D6C">
        <w:rPr>
          <w:i/>
          <w:iCs/>
        </w:rPr>
        <w:t xml:space="preserve">C. </w:t>
      </w:r>
      <w:proofErr w:type="spellStart"/>
      <w:r w:rsidR="00E36C97" w:rsidRPr="001A1D6C">
        <w:rPr>
          <w:i/>
          <w:iCs/>
        </w:rPr>
        <w:t>kefyr</w:t>
      </w:r>
      <w:proofErr w:type="spellEnd"/>
      <w:r w:rsidR="00E36C97">
        <w:t xml:space="preserve"> luego de 5 minutos de exposición a 300 ppm de NaClO, seguida de un 58% para </w:t>
      </w:r>
      <w:r w:rsidR="00E36C97" w:rsidRPr="001A1D6C">
        <w:rPr>
          <w:i/>
          <w:iCs/>
        </w:rPr>
        <w:t xml:space="preserve">C. </w:t>
      </w:r>
      <w:proofErr w:type="spellStart"/>
      <w:r w:rsidR="00E36C97" w:rsidRPr="001A1D6C">
        <w:rPr>
          <w:i/>
          <w:iCs/>
        </w:rPr>
        <w:t>krusei</w:t>
      </w:r>
      <w:proofErr w:type="spellEnd"/>
      <w:r w:rsidR="00E36C97">
        <w:t xml:space="preserve"> a los 10 minutos de exposición a 400 ppm y del 100% para </w:t>
      </w:r>
      <w:r w:rsidR="00E36C97" w:rsidRPr="001A1D6C">
        <w:rPr>
          <w:i/>
          <w:iCs/>
        </w:rPr>
        <w:t xml:space="preserve">C. </w:t>
      </w:r>
      <w:proofErr w:type="spellStart"/>
      <w:r w:rsidR="00E36C97" w:rsidRPr="001A1D6C">
        <w:rPr>
          <w:i/>
          <w:iCs/>
        </w:rPr>
        <w:t>tropicalis</w:t>
      </w:r>
      <w:proofErr w:type="spellEnd"/>
      <w:r w:rsidR="00E36C97">
        <w:t xml:space="preserve"> luego de 5 minutos de exposición a 500 ppm. En este último caso el % máximo alcanzado luego de 30 minutos a 400 ppm fue del 44%. Teniendo en cuenta que las concentraciones de NaClO utilizadas en </w:t>
      </w:r>
      <w:bookmarkStart w:id="0" w:name="_GoBack"/>
      <w:r w:rsidR="00E36C97">
        <w:t xml:space="preserve">los protocolos de sanitización de las industrias jugueras varían entre 50 y 200 </w:t>
      </w:r>
      <w:bookmarkEnd w:id="0"/>
      <w:r w:rsidR="00E36C97">
        <w:t xml:space="preserve">ppm de acuerdo a la etapa del proceso productivo, los resultados de este estudio alertan sobre el riesgo de emplear una misma concentración de agente biocida a lo largo de toda la línea de producción. Como se puede observar, las concentraciones </w:t>
      </w:r>
      <w:r w:rsidR="001A1D6C">
        <w:t>utilizadas normalmente no son satisfactorias para el</w:t>
      </w:r>
      <w:r w:rsidR="00E36C97">
        <w:t xml:space="preserve"> </w:t>
      </w:r>
      <w:r w:rsidR="001A1D6C">
        <w:lastRenderedPageBreak/>
        <w:t>desplazamiento de las</w:t>
      </w:r>
      <w:r w:rsidR="00E36C97">
        <w:t xml:space="preserve"> especies analizadas, las cuales forman parte de la microbiota residente; con lo cual se plantea la necesidad de un estudio caso por caso.</w:t>
      </w:r>
    </w:p>
    <w:p w14:paraId="7D312442" w14:textId="77777777" w:rsidR="00E36C97" w:rsidRDefault="00E36C97" w:rsidP="00E36C97">
      <w:pPr>
        <w:pStyle w:val="Textoindependiente"/>
        <w:spacing w:line="242" w:lineRule="auto"/>
        <w:ind w:right="133" w:hanging="3"/>
        <w:jc w:val="both"/>
      </w:pPr>
    </w:p>
    <w:p w14:paraId="23B8EEB3" w14:textId="52FE86EA" w:rsidR="00480653" w:rsidRDefault="00E36C97" w:rsidP="00E36C97">
      <w:pPr>
        <w:pStyle w:val="Textoindependiente"/>
        <w:spacing w:line="242" w:lineRule="auto"/>
        <w:ind w:right="133" w:hanging="3"/>
        <w:jc w:val="both"/>
      </w:pPr>
      <w:r>
        <w:t xml:space="preserve">Palabras Clave: Industria </w:t>
      </w:r>
      <w:proofErr w:type="spellStart"/>
      <w:r>
        <w:t>juguera</w:t>
      </w:r>
      <w:proofErr w:type="spellEnd"/>
      <w:r>
        <w:t xml:space="preserve">, concentración sub-inhibitoria, </w:t>
      </w:r>
      <w:proofErr w:type="spellStart"/>
      <w:r w:rsidRPr="00E36C97">
        <w:rPr>
          <w:i/>
          <w:iCs/>
        </w:rPr>
        <w:t>Candida</w:t>
      </w:r>
      <w:proofErr w:type="spellEnd"/>
      <w:r>
        <w:t xml:space="preserve"> </w:t>
      </w:r>
      <w:proofErr w:type="spellStart"/>
      <w:r>
        <w:t>sp</w:t>
      </w:r>
      <w:proofErr w:type="spellEnd"/>
      <w:r>
        <w:t>., agente microbiocida</w:t>
      </w:r>
      <w:r w:rsidR="001A1D6C">
        <w:t>.</w:t>
      </w:r>
    </w:p>
    <w:sectPr w:rsidR="00480653">
      <w:headerReference w:type="default" r:id="rId9"/>
      <w:type w:val="continuous"/>
      <w:pgSz w:w="11910" w:h="16850"/>
      <w:pgMar w:top="360" w:right="1560" w:bottom="280" w:left="156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E5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A6848" w16cex:dateUtc="2022-08-07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E5390" w16cid:durableId="269A68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69705" w14:textId="77777777" w:rsidR="007D55F4" w:rsidRDefault="007D55F4">
      <w:r>
        <w:separator/>
      </w:r>
    </w:p>
  </w:endnote>
  <w:endnote w:type="continuationSeparator" w:id="0">
    <w:p w14:paraId="409D0EEF" w14:textId="77777777" w:rsidR="007D55F4" w:rsidRDefault="007D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CC81D" w14:textId="77777777" w:rsidR="007D55F4" w:rsidRDefault="007D55F4">
      <w:r>
        <w:separator/>
      </w:r>
    </w:p>
  </w:footnote>
  <w:footnote w:type="continuationSeparator" w:id="0">
    <w:p w14:paraId="02A7ED55" w14:textId="77777777" w:rsidR="007D55F4" w:rsidRDefault="007D5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59E5" w14:textId="77777777" w:rsidR="00480653" w:rsidRDefault="000B1031">
    <w:pPr>
      <w:pStyle w:val="Textoindependiente"/>
      <w:spacing w:line="14" w:lineRule="auto"/>
      <w:ind w:left="0"/>
      <w:rPr>
        <w:sz w:val="2"/>
      </w:rPr>
    </w:pPr>
    <w:r>
      <w:rPr>
        <w:noProof/>
        <w:lang w:val="es-AR" w:eastAsia="es-AR"/>
      </w:rPr>
      <w:drawing>
        <wp:anchor distT="0" distB="0" distL="0" distR="0" simplePos="0" relativeHeight="487557632" behindDoc="1" locked="0" layoutInCell="1" allowOverlap="1" wp14:anchorId="04307A33" wp14:editId="52CCA1FC">
          <wp:simplePos x="0" y="0"/>
          <wp:positionH relativeFrom="page">
            <wp:posOffset>1827504</wp:posOffset>
          </wp:positionH>
          <wp:positionV relativeFrom="page">
            <wp:posOffset>3419830</wp:posOffset>
          </wp:positionV>
          <wp:extent cx="3905554" cy="39055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05554" cy="39055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47557"/>
    <w:multiLevelType w:val="hybridMultilevel"/>
    <w:tmpl w:val="9D7648B0"/>
    <w:lvl w:ilvl="0" w:tplc="0958CA9C">
      <w:start w:val="1"/>
      <w:numFmt w:val="decimal"/>
      <w:lvlText w:val="(%1)"/>
      <w:lvlJc w:val="left"/>
      <w:pPr>
        <w:ind w:left="142" w:hanging="360"/>
        <w:jc w:val="left"/>
      </w:pPr>
      <w:rPr>
        <w:rFonts w:ascii="Arial" w:eastAsia="Arial" w:hAnsi="Arial" w:cs="Arial" w:hint="default"/>
        <w:w w:val="99"/>
        <w:sz w:val="24"/>
        <w:szCs w:val="24"/>
        <w:lang w:val="es-ES" w:eastAsia="en-US" w:bidi="ar-SA"/>
      </w:rPr>
    </w:lvl>
    <w:lvl w:ilvl="1" w:tplc="64E641E6">
      <w:numFmt w:val="bullet"/>
      <w:lvlText w:val="•"/>
      <w:lvlJc w:val="left"/>
      <w:pPr>
        <w:ind w:left="1004" w:hanging="360"/>
      </w:pPr>
      <w:rPr>
        <w:rFonts w:hint="default"/>
        <w:lang w:val="es-ES" w:eastAsia="en-US" w:bidi="ar-SA"/>
      </w:rPr>
    </w:lvl>
    <w:lvl w:ilvl="2" w:tplc="725A71FA">
      <w:numFmt w:val="bullet"/>
      <w:lvlText w:val="•"/>
      <w:lvlJc w:val="left"/>
      <w:pPr>
        <w:ind w:left="1869" w:hanging="360"/>
      </w:pPr>
      <w:rPr>
        <w:rFonts w:hint="default"/>
        <w:lang w:val="es-ES" w:eastAsia="en-US" w:bidi="ar-SA"/>
      </w:rPr>
    </w:lvl>
    <w:lvl w:ilvl="3" w:tplc="F67A60A6">
      <w:numFmt w:val="bullet"/>
      <w:lvlText w:val="•"/>
      <w:lvlJc w:val="left"/>
      <w:pPr>
        <w:ind w:left="2733" w:hanging="360"/>
      </w:pPr>
      <w:rPr>
        <w:rFonts w:hint="default"/>
        <w:lang w:val="es-ES" w:eastAsia="en-US" w:bidi="ar-SA"/>
      </w:rPr>
    </w:lvl>
    <w:lvl w:ilvl="4" w:tplc="48C40D10">
      <w:numFmt w:val="bullet"/>
      <w:lvlText w:val="•"/>
      <w:lvlJc w:val="left"/>
      <w:pPr>
        <w:ind w:left="3598" w:hanging="360"/>
      </w:pPr>
      <w:rPr>
        <w:rFonts w:hint="default"/>
        <w:lang w:val="es-ES" w:eastAsia="en-US" w:bidi="ar-SA"/>
      </w:rPr>
    </w:lvl>
    <w:lvl w:ilvl="5" w:tplc="84F058A0">
      <w:numFmt w:val="bullet"/>
      <w:lvlText w:val="•"/>
      <w:lvlJc w:val="left"/>
      <w:pPr>
        <w:ind w:left="4463" w:hanging="360"/>
      </w:pPr>
      <w:rPr>
        <w:rFonts w:hint="default"/>
        <w:lang w:val="es-ES" w:eastAsia="en-US" w:bidi="ar-SA"/>
      </w:rPr>
    </w:lvl>
    <w:lvl w:ilvl="6" w:tplc="5BFE9676">
      <w:numFmt w:val="bullet"/>
      <w:lvlText w:val="•"/>
      <w:lvlJc w:val="left"/>
      <w:pPr>
        <w:ind w:left="5327" w:hanging="360"/>
      </w:pPr>
      <w:rPr>
        <w:rFonts w:hint="default"/>
        <w:lang w:val="es-ES" w:eastAsia="en-US" w:bidi="ar-SA"/>
      </w:rPr>
    </w:lvl>
    <w:lvl w:ilvl="7" w:tplc="D27C7224">
      <w:numFmt w:val="bullet"/>
      <w:lvlText w:val="•"/>
      <w:lvlJc w:val="left"/>
      <w:pPr>
        <w:ind w:left="6192" w:hanging="360"/>
      </w:pPr>
      <w:rPr>
        <w:rFonts w:hint="default"/>
        <w:lang w:val="es-ES" w:eastAsia="en-US" w:bidi="ar-SA"/>
      </w:rPr>
    </w:lvl>
    <w:lvl w:ilvl="8" w:tplc="5E741ADC">
      <w:numFmt w:val="bullet"/>
      <w:lvlText w:val="•"/>
      <w:lvlJc w:val="left"/>
      <w:pPr>
        <w:ind w:left="7057" w:hanging="360"/>
      </w:pPr>
      <w:rPr>
        <w:rFonts w:hint="default"/>
        <w:lang w:val="es-ES" w:eastAsia="en-US" w:bidi="ar-SA"/>
      </w:rPr>
    </w:lvl>
  </w:abstractNum>
  <w:abstractNum w:abstractNumId="1">
    <w:nsid w:val="79E9204F"/>
    <w:multiLevelType w:val="hybridMultilevel"/>
    <w:tmpl w:val="7F00BE68"/>
    <w:lvl w:ilvl="0" w:tplc="1CD0DFD2">
      <w:start w:val="3"/>
      <w:numFmt w:val="decimal"/>
      <w:lvlText w:val="(%1)"/>
      <w:lvlJc w:val="left"/>
      <w:pPr>
        <w:ind w:left="4188" w:hanging="360"/>
        <w:jc w:val="left"/>
      </w:pPr>
      <w:rPr>
        <w:rFonts w:ascii="Arial" w:eastAsia="Arial" w:hAnsi="Arial" w:cs="Arial" w:hint="default"/>
        <w:w w:val="99"/>
        <w:sz w:val="24"/>
        <w:szCs w:val="24"/>
        <w:lang w:val="es-ES" w:eastAsia="en-US" w:bidi="ar-SA"/>
      </w:rPr>
    </w:lvl>
    <w:lvl w:ilvl="1" w:tplc="FD9CDC52">
      <w:numFmt w:val="bullet"/>
      <w:lvlText w:val="•"/>
      <w:lvlJc w:val="left"/>
      <w:pPr>
        <w:ind w:left="1004" w:hanging="360"/>
      </w:pPr>
      <w:rPr>
        <w:rFonts w:hint="default"/>
        <w:lang w:val="es-ES" w:eastAsia="en-US" w:bidi="ar-SA"/>
      </w:rPr>
    </w:lvl>
    <w:lvl w:ilvl="2" w:tplc="EFE81A50">
      <w:numFmt w:val="bullet"/>
      <w:lvlText w:val="•"/>
      <w:lvlJc w:val="left"/>
      <w:pPr>
        <w:ind w:left="1869" w:hanging="360"/>
      </w:pPr>
      <w:rPr>
        <w:rFonts w:hint="default"/>
        <w:lang w:val="es-ES" w:eastAsia="en-US" w:bidi="ar-SA"/>
      </w:rPr>
    </w:lvl>
    <w:lvl w:ilvl="3" w:tplc="F2ECEFFC">
      <w:numFmt w:val="bullet"/>
      <w:lvlText w:val="•"/>
      <w:lvlJc w:val="left"/>
      <w:pPr>
        <w:ind w:left="2733" w:hanging="360"/>
      </w:pPr>
      <w:rPr>
        <w:rFonts w:hint="default"/>
        <w:lang w:val="es-ES" w:eastAsia="en-US" w:bidi="ar-SA"/>
      </w:rPr>
    </w:lvl>
    <w:lvl w:ilvl="4" w:tplc="29C010EA">
      <w:numFmt w:val="bullet"/>
      <w:lvlText w:val="•"/>
      <w:lvlJc w:val="left"/>
      <w:pPr>
        <w:ind w:left="3598" w:hanging="360"/>
      </w:pPr>
      <w:rPr>
        <w:rFonts w:hint="default"/>
        <w:lang w:val="es-ES" w:eastAsia="en-US" w:bidi="ar-SA"/>
      </w:rPr>
    </w:lvl>
    <w:lvl w:ilvl="5" w:tplc="31A27F1C">
      <w:numFmt w:val="bullet"/>
      <w:lvlText w:val="•"/>
      <w:lvlJc w:val="left"/>
      <w:pPr>
        <w:ind w:left="4463" w:hanging="360"/>
      </w:pPr>
      <w:rPr>
        <w:rFonts w:hint="default"/>
        <w:lang w:val="es-ES" w:eastAsia="en-US" w:bidi="ar-SA"/>
      </w:rPr>
    </w:lvl>
    <w:lvl w:ilvl="6" w:tplc="EE12CF44">
      <w:numFmt w:val="bullet"/>
      <w:lvlText w:val="•"/>
      <w:lvlJc w:val="left"/>
      <w:pPr>
        <w:ind w:left="5327" w:hanging="360"/>
      </w:pPr>
      <w:rPr>
        <w:rFonts w:hint="default"/>
        <w:lang w:val="es-ES" w:eastAsia="en-US" w:bidi="ar-SA"/>
      </w:rPr>
    </w:lvl>
    <w:lvl w:ilvl="7" w:tplc="0E38DA50">
      <w:numFmt w:val="bullet"/>
      <w:lvlText w:val="•"/>
      <w:lvlJc w:val="left"/>
      <w:pPr>
        <w:ind w:left="6192" w:hanging="360"/>
      </w:pPr>
      <w:rPr>
        <w:rFonts w:hint="default"/>
        <w:lang w:val="es-ES" w:eastAsia="en-US" w:bidi="ar-SA"/>
      </w:rPr>
    </w:lvl>
    <w:lvl w:ilvl="8" w:tplc="E108B358">
      <w:numFmt w:val="bullet"/>
      <w:lvlText w:val="•"/>
      <w:lvlJc w:val="left"/>
      <w:pPr>
        <w:ind w:left="7057" w:hanging="360"/>
      </w:pPr>
      <w:rPr>
        <w:rFonts w:hint="default"/>
        <w:lang w:val="es-E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80653"/>
    <w:rsid w:val="000B1031"/>
    <w:rsid w:val="001A0786"/>
    <w:rsid w:val="001A1D6C"/>
    <w:rsid w:val="00201F1A"/>
    <w:rsid w:val="003A2F6B"/>
    <w:rsid w:val="00480653"/>
    <w:rsid w:val="007D55F4"/>
    <w:rsid w:val="00874379"/>
    <w:rsid w:val="00C7215E"/>
    <w:rsid w:val="00E21F7B"/>
    <w:rsid w:val="00E36C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23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pPr>
    <w:rPr>
      <w:sz w:val="24"/>
      <w:szCs w:val="24"/>
    </w:rPr>
  </w:style>
  <w:style w:type="paragraph" w:styleId="Ttulo">
    <w:name w:val="Title"/>
    <w:basedOn w:val="Normal"/>
    <w:uiPriority w:val="10"/>
    <w:qFormat/>
    <w:pPr>
      <w:ind w:left="504" w:right="500"/>
      <w:jc w:val="center"/>
    </w:pPr>
    <w:rPr>
      <w:b/>
      <w:bCs/>
      <w:sz w:val="24"/>
      <w:szCs w:val="24"/>
    </w:rPr>
  </w:style>
  <w:style w:type="paragraph" w:styleId="Prrafodelista">
    <w:name w:val="List Paragraph"/>
    <w:basedOn w:val="Normal"/>
    <w:uiPriority w:val="1"/>
    <w:qFormat/>
    <w:pPr>
      <w:spacing w:before="193"/>
      <w:ind w:left="142" w:right="150" w:hanging="3"/>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36C97"/>
    <w:rPr>
      <w:color w:val="0000FF" w:themeColor="hyperlink"/>
      <w:u w:val="single"/>
    </w:rPr>
  </w:style>
  <w:style w:type="character" w:customStyle="1" w:styleId="UnresolvedMention">
    <w:name w:val="Unresolved Mention"/>
    <w:basedOn w:val="Fuentedeprrafopredeter"/>
    <w:uiPriority w:val="99"/>
    <w:semiHidden/>
    <w:unhideWhenUsed/>
    <w:rsid w:val="00E36C97"/>
    <w:rPr>
      <w:color w:val="605E5C"/>
      <w:shd w:val="clear" w:color="auto" w:fill="E1DFDD"/>
    </w:rPr>
  </w:style>
  <w:style w:type="character" w:styleId="Refdecomentario">
    <w:name w:val="annotation reference"/>
    <w:basedOn w:val="Fuentedeprrafopredeter"/>
    <w:uiPriority w:val="99"/>
    <w:semiHidden/>
    <w:unhideWhenUsed/>
    <w:rsid w:val="00C7215E"/>
    <w:rPr>
      <w:sz w:val="16"/>
      <w:szCs w:val="16"/>
    </w:rPr>
  </w:style>
  <w:style w:type="paragraph" w:styleId="Textocomentario">
    <w:name w:val="annotation text"/>
    <w:basedOn w:val="Normal"/>
    <w:link w:val="TextocomentarioCar"/>
    <w:uiPriority w:val="99"/>
    <w:semiHidden/>
    <w:unhideWhenUsed/>
    <w:rsid w:val="00C7215E"/>
    <w:rPr>
      <w:sz w:val="20"/>
      <w:szCs w:val="20"/>
    </w:rPr>
  </w:style>
  <w:style w:type="character" w:customStyle="1" w:styleId="TextocomentarioCar">
    <w:name w:val="Texto comentario Car"/>
    <w:basedOn w:val="Fuentedeprrafopredeter"/>
    <w:link w:val="Textocomentario"/>
    <w:uiPriority w:val="99"/>
    <w:semiHidden/>
    <w:rsid w:val="00C7215E"/>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C7215E"/>
    <w:rPr>
      <w:b/>
      <w:bCs/>
    </w:rPr>
  </w:style>
  <w:style w:type="character" w:customStyle="1" w:styleId="AsuntodelcomentarioCar">
    <w:name w:val="Asunto del comentario Car"/>
    <w:basedOn w:val="TextocomentarioCar"/>
    <w:link w:val="Asuntodelcomentario"/>
    <w:uiPriority w:val="99"/>
    <w:semiHidden/>
    <w:rsid w:val="00C7215E"/>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201F1A"/>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F1A"/>
    <w:rPr>
      <w:rFonts w:ascii="Tahoma" w:eastAsia="Arial"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Tarifa Maria Clara</cp:lastModifiedBy>
  <cp:revision>5</cp:revision>
  <dcterms:created xsi:type="dcterms:W3CDTF">2022-08-07T19:25:00Z</dcterms:created>
  <dcterms:modified xsi:type="dcterms:W3CDTF">2022-08-07T23:22:00Z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2010</vt:lpwstr>
  </property>
  <property fmtid="{D5CDD505-2E9C-101B-9397-08002B2CF9AE}" pid="4" name="LastSaved">
    <vt:filetime>2022-08-07T00:00:00Z</vt:filetime>
  </property>
</Properties>
</file>