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8DFF" w14:textId="77777777" w:rsidR="00CE549C" w:rsidRPr="00CE549C" w:rsidRDefault="00CE549C" w:rsidP="00CE549C">
      <w:pPr>
        <w:widowControl w:val="0"/>
        <w:suppressAutoHyphens w:val="0"/>
        <w:autoSpaceDE w:val="0"/>
        <w:autoSpaceDN w:val="0"/>
        <w:spacing w:after="0" w:line="242" w:lineRule="auto"/>
        <w:ind w:leftChars="0" w:left="1579" w:firstLineChars="0" w:hanging="1440"/>
        <w:jc w:val="left"/>
        <w:textDirection w:val="lrTb"/>
        <w:textAlignment w:val="auto"/>
        <w:outlineLvl w:val="9"/>
        <w:rPr>
          <w:b/>
          <w:bCs/>
          <w:position w:val="0"/>
          <w:lang w:val="es-ES"/>
        </w:rPr>
      </w:pPr>
      <w:r w:rsidRPr="00CE549C">
        <w:rPr>
          <w:b/>
          <w:bCs/>
          <w:position w:val="0"/>
          <w:lang w:val="es-ES"/>
        </w:rPr>
        <w:t>Capacidad acidificante de cepas de lactobacilos vaginales y actividad antagonista frente a patógenos urogenitales</w:t>
      </w:r>
    </w:p>
    <w:p w14:paraId="493C2CC7" w14:textId="77777777" w:rsidR="00CE549C" w:rsidRPr="00CE549C" w:rsidRDefault="00CE549C" w:rsidP="00CE549C">
      <w:pPr>
        <w:widowControl w:val="0"/>
        <w:suppressAutoHyphens w:val="0"/>
        <w:autoSpaceDE w:val="0"/>
        <w:autoSpaceDN w:val="0"/>
        <w:spacing w:before="5"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position w:val="0"/>
          <w:lang w:val="es-ES"/>
        </w:rPr>
      </w:pPr>
    </w:p>
    <w:p w14:paraId="248EB087" w14:textId="77777777" w:rsidR="00CE549C" w:rsidRPr="00CE549C" w:rsidRDefault="00CE549C" w:rsidP="00CE549C">
      <w:pPr>
        <w:widowControl w:val="0"/>
        <w:suppressAutoHyphens w:val="0"/>
        <w:autoSpaceDE w:val="0"/>
        <w:autoSpaceDN w:val="0"/>
        <w:spacing w:after="0" w:line="240" w:lineRule="auto"/>
        <w:ind w:leftChars="0" w:left="2721" w:right="2721" w:firstLineChars="0" w:firstLine="0"/>
        <w:jc w:val="center"/>
        <w:textDirection w:val="lrTb"/>
        <w:textAlignment w:val="auto"/>
        <w:outlineLvl w:val="9"/>
        <w:rPr>
          <w:position w:val="0"/>
          <w:lang w:val="es-ES"/>
        </w:rPr>
      </w:pPr>
      <w:proofErr w:type="spellStart"/>
      <w:r w:rsidRPr="00CE549C">
        <w:rPr>
          <w:position w:val="0"/>
          <w:lang w:val="es-ES"/>
        </w:rPr>
        <w:t>Hick</w:t>
      </w:r>
      <w:proofErr w:type="spellEnd"/>
      <w:r w:rsidRPr="00CE549C">
        <w:rPr>
          <w:position w:val="0"/>
          <w:lang w:val="es-ES"/>
        </w:rPr>
        <w:t xml:space="preserve"> EL (1,2), Burns PG (1,2)</w:t>
      </w:r>
    </w:p>
    <w:p w14:paraId="1116E38B" w14:textId="77777777" w:rsidR="00CE549C" w:rsidRPr="00CE549C" w:rsidRDefault="00CE549C" w:rsidP="00CE549C">
      <w:pPr>
        <w:widowControl w:val="0"/>
        <w:suppressAutoHyphens w:val="0"/>
        <w:autoSpaceDE w:val="0"/>
        <w:autoSpaceDN w:val="0"/>
        <w:spacing w:before="5"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val="es-ES"/>
        </w:rPr>
      </w:pPr>
    </w:p>
    <w:p w14:paraId="3623FD53" w14:textId="77777777" w:rsidR="00CE549C" w:rsidRPr="00CE549C" w:rsidRDefault="00CE549C" w:rsidP="00CE549C">
      <w:pPr>
        <w:widowControl w:val="0"/>
        <w:numPr>
          <w:ilvl w:val="0"/>
          <w:numId w:val="1"/>
        </w:numPr>
        <w:tabs>
          <w:tab w:val="left" w:pos="546"/>
        </w:tabs>
        <w:suppressAutoHyphens w:val="0"/>
        <w:autoSpaceDE w:val="0"/>
        <w:autoSpaceDN w:val="0"/>
        <w:spacing w:after="120" w:line="240" w:lineRule="auto"/>
        <w:ind w:leftChars="0" w:right="140" w:firstLineChars="0" w:hanging="3"/>
        <w:jc w:val="left"/>
        <w:textDirection w:val="lrTb"/>
        <w:textAlignment w:val="auto"/>
        <w:outlineLvl w:val="9"/>
        <w:rPr>
          <w:position w:val="0"/>
          <w:szCs w:val="22"/>
          <w:lang w:val="es-ES"/>
        </w:rPr>
      </w:pPr>
      <w:r w:rsidRPr="00CE549C">
        <w:rPr>
          <w:position w:val="0"/>
          <w:szCs w:val="22"/>
          <w:lang w:val="es-ES"/>
        </w:rPr>
        <w:t>Instituto de Lactología Industrial (UNL-CONICET), Facultad de Ingeniería Química, Universidad Nacional del Litoral. Santa</w:t>
      </w:r>
      <w:r w:rsidRPr="00CE549C">
        <w:rPr>
          <w:spacing w:val="-5"/>
          <w:position w:val="0"/>
          <w:szCs w:val="22"/>
          <w:lang w:val="es-ES"/>
        </w:rPr>
        <w:t xml:space="preserve"> </w:t>
      </w:r>
      <w:r w:rsidRPr="00CE549C">
        <w:rPr>
          <w:position w:val="0"/>
          <w:szCs w:val="22"/>
          <w:lang w:val="es-ES"/>
        </w:rPr>
        <w:t>Fe.</w:t>
      </w:r>
    </w:p>
    <w:p w14:paraId="1DBA2AFA" w14:textId="77777777" w:rsidR="00CE549C" w:rsidRPr="00CE549C" w:rsidRDefault="00CE549C" w:rsidP="00CE549C">
      <w:pPr>
        <w:widowControl w:val="0"/>
        <w:numPr>
          <w:ilvl w:val="0"/>
          <w:numId w:val="1"/>
        </w:numPr>
        <w:tabs>
          <w:tab w:val="left" w:pos="582"/>
        </w:tabs>
        <w:suppressAutoHyphens w:val="0"/>
        <w:autoSpaceDE w:val="0"/>
        <w:autoSpaceDN w:val="0"/>
        <w:spacing w:after="120" w:line="240" w:lineRule="auto"/>
        <w:ind w:leftChars="0" w:right="143" w:firstLineChars="0" w:hanging="3"/>
        <w:jc w:val="left"/>
        <w:textDirection w:val="lrTb"/>
        <w:textAlignment w:val="auto"/>
        <w:outlineLvl w:val="9"/>
        <w:rPr>
          <w:position w:val="0"/>
          <w:szCs w:val="22"/>
          <w:lang w:val="es-ES"/>
        </w:rPr>
      </w:pPr>
      <w:r w:rsidRPr="00CE549C">
        <w:rPr>
          <w:position w:val="0"/>
          <w:szCs w:val="22"/>
          <w:lang w:val="es-ES"/>
        </w:rPr>
        <w:t>Cátedra de Microbiología General, Facultad de Bioquímica y Ciencias Biológicas, Universidad Nacional del Litoral. Santa</w:t>
      </w:r>
      <w:r w:rsidRPr="00CE549C">
        <w:rPr>
          <w:spacing w:val="-7"/>
          <w:position w:val="0"/>
          <w:szCs w:val="22"/>
          <w:lang w:val="es-ES"/>
        </w:rPr>
        <w:t xml:space="preserve"> </w:t>
      </w:r>
      <w:r w:rsidRPr="00CE549C">
        <w:rPr>
          <w:position w:val="0"/>
          <w:szCs w:val="22"/>
          <w:lang w:val="es-ES"/>
        </w:rPr>
        <w:t>Fe.</w:t>
      </w:r>
    </w:p>
    <w:p w14:paraId="0A0F79C9" w14:textId="77777777" w:rsidR="00CE549C" w:rsidRPr="00CE549C" w:rsidRDefault="00CE549C" w:rsidP="00CE549C">
      <w:pPr>
        <w:widowControl w:val="0"/>
        <w:suppressAutoHyphens w:val="0"/>
        <w:autoSpaceDE w:val="0"/>
        <w:autoSpaceDN w:val="0"/>
        <w:spacing w:after="0" w:line="240" w:lineRule="auto"/>
        <w:ind w:leftChars="0" w:left="142" w:right="4048" w:firstLineChars="0" w:firstLine="0"/>
        <w:jc w:val="left"/>
        <w:textDirection w:val="lrTb"/>
        <w:textAlignment w:val="auto"/>
        <w:outlineLvl w:val="9"/>
        <w:rPr>
          <w:position w:val="0"/>
          <w:lang w:val="es-ES"/>
        </w:rPr>
      </w:pPr>
      <w:hyperlink r:id="rId8">
        <w:r w:rsidRPr="00CE549C">
          <w:rPr>
            <w:position w:val="0"/>
            <w:lang w:val="es-ES"/>
          </w:rPr>
          <w:t>ehick@fbcb.unl.edu.ar</w:t>
        </w:r>
      </w:hyperlink>
    </w:p>
    <w:p w14:paraId="0EBFDA02" w14:textId="77777777" w:rsidR="00CE549C" w:rsidRPr="00CE549C" w:rsidRDefault="00CE549C" w:rsidP="00CE549C">
      <w:pPr>
        <w:widowControl w:val="0"/>
        <w:suppressAutoHyphens w:val="0"/>
        <w:autoSpaceDE w:val="0"/>
        <w:autoSpaceDN w:val="0"/>
        <w:spacing w:after="0" w:line="240" w:lineRule="auto"/>
        <w:ind w:leftChars="0" w:left="142" w:right="4048" w:firstLineChars="0" w:firstLine="0"/>
        <w:jc w:val="left"/>
        <w:textDirection w:val="lrTb"/>
        <w:textAlignment w:val="auto"/>
        <w:outlineLvl w:val="9"/>
        <w:rPr>
          <w:position w:val="0"/>
          <w:lang w:val="es-ES"/>
        </w:rPr>
      </w:pPr>
    </w:p>
    <w:p w14:paraId="7E43EB10" w14:textId="77777777" w:rsidR="00CE549C" w:rsidRDefault="00CE549C" w:rsidP="00CE549C">
      <w:pPr>
        <w:widowControl w:val="0"/>
        <w:suppressAutoHyphens w:val="0"/>
        <w:autoSpaceDE w:val="0"/>
        <w:autoSpaceDN w:val="0"/>
        <w:spacing w:after="0" w:line="242" w:lineRule="auto"/>
        <w:ind w:leftChars="0" w:left="139" w:right="124" w:firstLineChars="0" w:firstLine="0"/>
        <w:textDirection w:val="lrTb"/>
        <w:textAlignment w:val="auto"/>
        <w:outlineLvl w:val="9"/>
        <w:rPr>
          <w:iCs/>
          <w:position w:val="0"/>
          <w:lang w:val="es-ES"/>
        </w:rPr>
      </w:pPr>
      <w:proofErr w:type="gramStart"/>
      <w:r w:rsidRPr="00CE549C">
        <w:rPr>
          <w:position w:val="0"/>
          <w:lang w:val="es-ES"/>
        </w:rPr>
        <w:t>La microbiota vaginal</w:t>
      </w:r>
      <w:proofErr w:type="gramEnd"/>
      <w:r w:rsidRPr="00CE549C">
        <w:rPr>
          <w:position w:val="0"/>
          <w:lang w:val="es-ES"/>
        </w:rPr>
        <w:t xml:space="preserve"> humana sana, caracterizada por el predominio de </w:t>
      </w:r>
      <w:r w:rsidRPr="00CE549C">
        <w:rPr>
          <w:i/>
          <w:position w:val="0"/>
          <w:lang w:val="es-ES"/>
        </w:rPr>
        <w:t xml:space="preserve">Lactobacillus </w:t>
      </w:r>
      <w:proofErr w:type="spellStart"/>
      <w:r w:rsidRPr="00CE549C">
        <w:rPr>
          <w:position w:val="0"/>
          <w:lang w:val="es-ES"/>
        </w:rPr>
        <w:t>spp</w:t>
      </w:r>
      <w:proofErr w:type="spellEnd"/>
      <w:r w:rsidRPr="00CE549C">
        <w:rPr>
          <w:position w:val="0"/>
          <w:lang w:val="es-ES"/>
        </w:rPr>
        <w:t xml:space="preserve">., juega un rol importante en el mantenimiento de la salud femenina. La administración, por vía vaginal u oral, de lactobacilos y/o de sus metabolitos se propone como un tratamiento alternativo o complementario a los antibióticos y antimicóticos, con efectos beneficiosos sobre las infecciones genitourinarias recurrentes. El objetivo de este trabajo fue aislar y caracterizar funcionalmente lactobacilos vaginales, para su potencial incorporación en alimentos y suplementos probióticos. Se aislaron 7 cepas a partir de muestras de exudados vaginales de mujeres sanas y se realizó la tipificación microbiológica por MALDI-TOF, identificándose dentro de las especies: </w:t>
      </w:r>
      <w:r w:rsidRPr="00CE549C">
        <w:rPr>
          <w:i/>
          <w:position w:val="0"/>
          <w:lang w:val="es-ES"/>
        </w:rPr>
        <w:t xml:space="preserve">Lactobacillus </w:t>
      </w:r>
      <w:proofErr w:type="spellStart"/>
      <w:r w:rsidRPr="00CE549C">
        <w:rPr>
          <w:i/>
          <w:position w:val="0"/>
          <w:lang w:val="es-ES"/>
        </w:rPr>
        <w:t>acidophilus</w:t>
      </w:r>
      <w:proofErr w:type="spellEnd"/>
      <w:r w:rsidRPr="00CE549C">
        <w:rPr>
          <w:i/>
          <w:position w:val="0"/>
          <w:lang w:val="es-ES"/>
        </w:rPr>
        <w:t xml:space="preserve"> / </w:t>
      </w:r>
      <w:proofErr w:type="spellStart"/>
      <w:r w:rsidRPr="00CE549C">
        <w:rPr>
          <w:i/>
          <w:position w:val="0"/>
          <w:lang w:val="es-ES"/>
        </w:rPr>
        <w:t>gasseri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(3)</w:t>
      </w:r>
      <w:r w:rsidRPr="00CE549C">
        <w:rPr>
          <w:i/>
          <w:position w:val="0"/>
          <w:lang w:val="es-ES"/>
        </w:rPr>
        <w:t xml:space="preserve">, L. </w:t>
      </w:r>
      <w:proofErr w:type="spellStart"/>
      <w:r w:rsidRPr="00CE549C">
        <w:rPr>
          <w:i/>
          <w:position w:val="0"/>
          <w:lang w:val="es-ES"/>
        </w:rPr>
        <w:t>crispatus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(2) y 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jensenii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(2). Para evaluar su seguridad, se determinó la actividad hemolítica de los aislamientos mediante</w:t>
      </w:r>
      <w:r w:rsidRPr="00CE549C">
        <w:rPr>
          <w:spacing w:val="-1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estrías</w:t>
      </w:r>
      <w:r w:rsidRPr="00CE549C">
        <w:rPr>
          <w:spacing w:val="-9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en</w:t>
      </w:r>
      <w:r w:rsidRPr="00CE549C">
        <w:rPr>
          <w:spacing w:val="-1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placas</w:t>
      </w:r>
      <w:r w:rsidRPr="00CE549C">
        <w:rPr>
          <w:spacing w:val="-1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1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agar</w:t>
      </w:r>
      <w:r w:rsidRPr="00CE549C">
        <w:rPr>
          <w:spacing w:val="-10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sangre;</w:t>
      </w:r>
      <w:r w:rsidRPr="00CE549C">
        <w:rPr>
          <w:spacing w:val="-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las</w:t>
      </w:r>
      <w:r w:rsidRPr="00CE549C">
        <w:rPr>
          <w:spacing w:val="-9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7</w:t>
      </w:r>
      <w:r w:rsidRPr="00CE549C">
        <w:rPr>
          <w:spacing w:val="-10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cepas</w:t>
      </w:r>
      <w:r w:rsidRPr="00CE549C">
        <w:rPr>
          <w:spacing w:val="-14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fueron</w:t>
      </w:r>
      <w:r w:rsidRPr="00CE549C">
        <w:rPr>
          <w:spacing w:val="-9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clasificadas</w:t>
      </w:r>
      <w:r w:rsidRPr="00CE549C">
        <w:rPr>
          <w:spacing w:val="-1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como γ-hemolíticas, sin zona de inhibición alrededor de las colonias. Se evaluó la funcionalidad </w:t>
      </w:r>
      <w:r w:rsidRPr="00CE549C">
        <w:rPr>
          <w:i/>
          <w:position w:val="0"/>
          <w:lang w:val="es-ES"/>
        </w:rPr>
        <w:t xml:space="preserve">in vitro </w:t>
      </w:r>
      <w:r w:rsidRPr="00CE549C">
        <w:rPr>
          <w:position w:val="0"/>
          <w:lang w:val="es-ES"/>
        </w:rPr>
        <w:t xml:space="preserve">de las cepas, determinando: capacidad acidificante y actividad antagonista contra patógenos urogenitales. En relación a la capacidad acidificante, se midió el pH del sobrenadante y la concentración (g/L) de ácidos orgánicos (láctico y acético) mediante HPLC. Los lactobacilos fueron cultivados overnight en caldo </w:t>
      </w:r>
      <w:proofErr w:type="spellStart"/>
      <w:r w:rsidRPr="00CE549C">
        <w:rPr>
          <w:position w:val="0"/>
          <w:lang w:val="es-ES"/>
        </w:rPr>
        <w:t>MRSc</w:t>
      </w:r>
      <w:proofErr w:type="spellEnd"/>
      <w:r w:rsidRPr="00CE549C">
        <w:rPr>
          <w:position w:val="0"/>
          <w:lang w:val="es-ES"/>
        </w:rPr>
        <w:t xml:space="preserve"> (anaerobiosis, 37°C, 22 </w:t>
      </w:r>
      <w:proofErr w:type="spellStart"/>
      <w:r w:rsidRPr="00CE549C">
        <w:rPr>
          <w:position w:val="0"/>
          <w:lang w:val="es-ES"/>
        </w:rPr>
        <w:t>hs</w:t>
      </w:r>
      <w:proofErr w:type="spellEnd"/>
      <w:r w:rsidRPr="00CE549C">
        <w:rPr>
          <w:position w:val="0"/>
          <w:lang w:val="es-ES"/>
        </w:rPr>
        <w:t xml:space="preserve">) y centrifugados (4000 </w:t>
      </w:r>
      <w:r w:rsidRPr="00CE549C">
        <w:rPr>
          <w:i/>
          <w:position w:val="0"/>
          <w:lang w:val="es-ES"/>
        </w:rPr>
        <w:t>g</w:t>
      </w:r>
      <w:r w:rsidRPr="00CE549C">
        <w:rPr>
          <w:position w:val="0"/>
          <w:lang w:val="es-ES"/>
        </w:rPr>
        <w:t>, 20 min, 8°C). El pH varió entre 4,04 ± 0,02 (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acidophilus</w:t>
      </w:r>
      <w:proofErr w:type="spellEnd"/>
      <w:r w:rsidRPr="00CE549C">
        <w:rPr>
          <w:i/>
          <w:position w:val="0"/>
          <w:lang w:val="es-ES"/>
        </w:rPr>
        <w:t>/</w:t>
      </w:r>
      <w:proofErr w:type="spellStart"/>
      <w:r w:rsidRPr="00CE549C">
        <w:rPr>
          <w:i/>
          <w:position w:val="0"/>
          <w:lang w:val="es-ES"/>
        </w:rPr>
        <w:t>gasseri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M7</w:t>
      </w:r>
      <w:r w:rsidRPr="00CE549C">
        <w:rPr>
          <w:i/>
          <w:position w:val="0"/>
          <w:lang w:val="es-ES"/>
        </w:rPr>
        <w:t xml:space="preserve">) </w:t>
      </w:r>
      <w:r w:rsidRPr="00CE549C">
        <w:rPr>
          <w:position w:val="0"/>
          <w:lang w:val="es-ES"/>
        </w:rPr>
        <w:t>y 4,26 ± 0,02 (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crispatus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M12a</w:t>
      </w:r>
      <w:r w:rsidRPr="00CE549C">
        <w:rPr>
          <w:i/>
          <w:position w:val="0"/>
          <w:lang w:val="es-ES"/>
        </w:rPr>
        <w:t xml:space="preserve">). </w:t>
      </w:r>
      <w:r w:rsidRPr="00CE549C">
        <w:rPr>
          <w:position w:val="0"/>
          <w:lang w:val="es-ES"/>
        </w:rPr>
        <w:t>En todos los sobrenadantes se detectó ácido láctico y en 6 de los 7 ácido acético. Los valores de ácido láctico se encontraron entre 9,30 ± 4,67 (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crispatus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M12a) y 16,35 ± 1,34 (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acidophilus</w:t>
      </w:r>
      <w:proofErr w:type="spellEnd"/>
      <w:r w:rsidRPr="00CE549C">
        <w:rPr>
          <w:i/>
          <w:position w:val="0"/>
          <w:lang w:val="es-ES"/>
        </w:rPr>
        <w:t>/</w:t>
      </w:r>
      <w:proofErr w:type="spellStart"/>
      <w:r w:rsidRPr="00CE549C">
        <w:rPr>
          <w:i/>
          <w:position w:val="0"/>
          <w:lang w:val="es-ES"/>
        </w:rPr>
        <w:t>gasseri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M16), mientras</w:t>
      </w:r>
      <w:r w:rsidRPr="00CE549C">
        <w:rPr>
          <w:spacing w:val="-14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que</w:t>
      </w:r>
      <w:r w:rsidRPr="00CE549C">
        <w:rPr>
          <w:spacing w:val="-1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el</w:t>
      </w:r>
      <w:r w:rsidRPr="00CE549C">
        <w:rPr>
          <w:spacing w:val="-13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ácido</w:t>
      </w:r>
      <w:r w:rsidRPr="00CE549C">
        <w:rPr>
          <w:spacing w:val="-1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acético</w:t>
      </w:r>
      <w:r w:rsidRPr="00CE549C">
        <w:rPr>
          <w:spacing w:val="-10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varió</w:t>
      </w:r>
      <w:r w:rsidRPr="00CE549C">
        <w:rPr>
          <w:spacing w:val="-1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entre</w:t>
      </w:r>
      <w:r w:rsidRPr="00CE549C">
        <w:rPr>
          <w:spacing w:val="-1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4,39</w:t>
      </w:r>
      <w:r w:rsidRPr="00CE549C">
        <w:rPr>
          <w:spacing w:val="-1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±</w:t>
      </w:r>
      <w:r w:rsidRPr="00CE549C">
        <w:rPr>
          <w:spacing w:val="-2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0,55</w:t>
      </w:r>
      <w:r w:rsidRPr="00CE549C">
        <w:rPr>
          <w:spacing w:val="-10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(</w:t>
      </w:r>
      <w:r w:rsidRPr="00CE549C">
        <w:rPr>
          <w:i/>
          <w:position w:val="0"/>
          <w:lang w:val="es-ES"/>
        </w:rPr>
        <w:t>L.</w:t>
      </w:r>
      <w:r w:rsidRPr="00CE549C">
        <w:rPr>
          <w:i/>
          <w:spacing w:val="-12"/>
          <w:position w:val="0"/>
          <w:lang w:val="es-ES"/>
        </w:rPr>
        <w:t xml:space="preserve"> </w:t>
      </w:r>
      <w:proofErr w:type="spellStart"/>
      <w:r w:rsidRPr="00CE549C">
        <w:rPr>
          <w:i/>
          <w:position w:val="0"/>
          <w:lang w:val="es-ES"/>
        </w:rPr>
        <w:t>acidophilus</w:t>
      </w:r>
      <w:proofErr w:type="spellEnd"/>
      <w:r w:rsidRPr="00CE549C">
        <w:rPr>
          <w:i/>
          <w:position w:val="0"/>
          <w:lang w:val="es-ES"/>
        </w:rPr>
        <w:t>/</w:t>
      </w:r>
      <w:proofErr w:type="spellStart"/>
      <w:r w:rsidRPr="00CE549C">
        <w:rPr>
          <w:i/>
          <w:position w:val="0"/>
          <w:lang w:val="es-ES"/>
        </w:rPr>
        <w:t>gasseri</w:t>
      </w:r>
      <w:proofErr w:type="spellEnd"/>
      <w:r w:rsidRPr="00CE549C">
        <w:rPr>
          <w:i/>
          <w:spacing w:val="-13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M16) y 6,45 ± 1,34 (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crispatus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M12a). La actividad antagonista se evaluó frente a </w:t>
      </w:r>
      <w:proofErr w:type="spellStart"/>
      <w:r w:rsidRPr="00CE549C">
        <w:rPr>
          <w:i/>
          <w:position w:val="0"/>
          <w:lang w:val="es-ES"/>
        </w:rPr>
        <w:t>Escherichia</w:t>
      </w:r>
      <w:proofErr w:type="spellEnd"/>
      <w:r w:rsidRPr="00CE549C">
        <w:rPr>
          <w:i/>
          <w:spacing w:val="-11"/>
          <w:position w:val="0"/>
          <w:lang w:val="es-ES"/>
        </w:rPr>
        <w:t xml:space="preserve"> </w:t>
      </w:r>
      <w:proofErr w:type="spellStart"/>
      <w:r w:rsidRPr="00CE549C">
        <w:rPr>
          <w:i/>
          <w:position w:val="0"/>
          <w:lang w:val="es-ES"/>
        </w:rPr>
        <w:t>coli</w:t>
      </w:r>
      <w:proofErr w:type="spellEnd"/>
      <w:r w:rsidRPr="00CE549C">
        <w:rPr>
          <w:i/>
          <w:spacing w:val="-9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ATCC</w:t>
      </w:r>
      <w:r w:rsidRPr="00CE549C">
        <w:rPr>
          <w:spacing w:val="-13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25922,</w:t>
      </w:r>
      <w:r w:rsidRPr="00CE549C">
        <w:rPr>
          <w:spacing w:val="-9"/>
          <w:position w:val="0"/>
          <w:lang w:val="es-ES"/>
        </w:rPr>
        <w:t xml:space="preserve"> </w:t>
      </w:r>
      <w:proofErr w:type="spellStart"/>
      <w:r w:rsidRPr="00CE549C">
        <w:rPr>
          <w:i/>
          <w:position w:val="0"/>
          <w:lang w:val="es-ES"/>
        </w:rPr>
        <w:t>Candida</w:t>
      </w:r>
      <w:proofErr w:type="spellEnd"/>
      <w:r w:rsidRPr="00CE549C">
        <w:rPr>
          <w:i/>
          <w:spacing w:val="-10"/>
          <w:position w:val="0"/>
          <w:lang w:val="es-ES"/>
        </w:rPr>
        <w:t xml:space="preserve"> </w:t>
      </w:r>
      <w:proofErr w:type="spellStart"/>
      <w:r w:rsidRPr="00CE549C">
        <w:rPr>
          <w:i/>
          <w:position w:val="0"/>
          <w:lang w:val="es-ES"/>
        </w:rPr>
        <w:t>albicans</w:t>
      </w:r>
      <w:proofErr w:type="spellEnd"/>
      <w:r w:rsidRPr="00CE549C">
        <w:rPr>
          <w:i/>
          <w:spacing w:val="-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ATCC</w:t>
      </w:r>
      <w:r w:rsidRPr="00CE549C">
        <w:rPr>
          <w:spacing w:val="-10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10231,</w:t>
      </w:r>
      <w:r w:rsidRPr="00CE549C">
        <w:rPr>
          <w:spacing w:val="-10"/>
          <w:position w:val="0"/>
          <w:lang w:val="es-ES"/>
        </w:rPr>
        <w:t xml:space="preserve"> </w:t>
      </w:r>
      <w:proofErr w:type="spellStart"/>
      <w:proofErr w:type="gramStart"/>
      <w:r w:rsidRPr="00CE549C">
        <w:rPr>
          <w:i/>
          <w:position w:val="0"/>
          <w:lang w:val="es-ES"/>
        </w:rPr>
        <w:t>C.glabrata</w:t>
      </w:r>
      <w:proofErr w:type="spellEnd"/>
      <w:proofErr w:type="gramEnd"/>
      <w:r w:rsidRPr="00CE549C">
        <w:rPr>
          <w:i/>
          <w:position w:val="0"/>
          <w:lang w:val="es-ES"/>
        </w:rPr>
        <w:t>,</w:t>
      </w:r>
      <w:r w:rsidRPr="00CE549C">
        <w:rPr>
          <w:i/>
          <w:spacing w:val="-10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ATCC 90030, </w:t>
      </w:r>
      <w:r w:rsidRPr="00CE549C">
        <w:rPr>
          <w:i/>
          <w:position w:val="0"/>
          <w:lang w:val="es-ES"/>
        </w:rPr>
        <w:t xml:space="preserve">C. </w:t>
      </w:r>
      <w:proofErr w:type="spellStart"/>
      <w:r w:rsidRPr="00CE549C">
        <w:rPr>
          <w:i/>
          <w:position w:val="0"/>
          <w:lang w:val="es-ES"/>
        </w:rPr>
        <w:t>parapsilosis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ATCC 2219 y </w:t>
      </w:r>
      <w:r w:rsidRPr="00CE549C">
        <w:rPr>
          <w:i/>
          <w:position w:val="0"/>
          <w:lang w:val="es-ES"/>
        </w:rPr>
        <w:t xml:space="preserve">C. </w:t>
      </w:r>
      <w:proofErr w:type="spellStart"/>
      <w:r w:rsidRPr="00CE549C">
        <w:rPr>
          <w:i/>
          <w:position w:val="0"/>
          <w:lang w:val="es-ES"/>
        </w:rPr>
        <w:t>krusei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ATCC 6258. Se determinó la presencia</w:t>
      </w:r>
      <w:r w:rsidRPr="00CE549C">
        <w:rPr>
          <w:spacing w:val="-19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17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compuestos</w:t>
      </w:r>
      <w:r w:rsidRPr="00CE549C">
        <w:rPr>
          <w:spacing w:val="-1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antimicrobianos</w:t>
      </w:r>
      <w:r w:rsidRPr="00CE549C">
        <w:rPr>
          <w:spacing w:val="-17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en</w:t>
      </w:r>
      <w:r w:rsidRPr="00CE549C">
        <w:rPr>
          <w:spacing w:val="-1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el</w:t>
      </w:r>
      <w:r w:rsidRPr="00CE549C">
        <w:rPr>
          <w:spacing w:val="-1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sobrenadante</w:t>
      </w:r>
      <w:r w:rsidRPr="00CE549C">
        <w:rPr>
          <w:spacing w:val="-1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17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los</w:t>
      </w:r>
      <w:r w:rsidRPr="00CE549C">
        <w:rPr>
          <w:spacing w:val="-1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lactobacilos tal</w:t>
      </w:r>
      <w:r w:rsidRPr="00CE549C">
        <w:rPr>
          <w:spacing w:val="-7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cual,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neutralizado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y</w:t>
      </w:r>
      <w:r w:rsidRPr="00CE549C">
        <w:rPr>
          <w:spacing w:val="-8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calentado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(98º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C,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5</w:t>
      </w:r>
      <w:r w:rsidRPr="00CE549C">
        <w:rPr>
          <w:spacing w:val="-7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min),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mediante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ensayo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difusión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en agar. El sobrenadante tal cual de 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jensenii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M15a presentó la mayor capacidad de inhibir </w:t>
      </w:r>
      <w:r w:rsidRPr="00CE549C">
        <w:rPr>
          <w:i/>
          <w:position w:val="0"/>
          <w:lang w:val="es-ES"/>
        </w:rPr>
        <w:t xml:space="preserve">E. </w:t>
      </w:r>
      <w:proofErr w:type="spellStart"/>
      <w:r w:rsidRPr="00CE549C">
        <w:rPr>
          <w:i/>
          <w:position w:val="0"/>
          <w:lang w:val="es-ES"/>
        </w:rPr>
        <w:t>coli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(11 ± 1 mm). Además, se llevó a cabo </w:t>
      </w:r>
      <w:r w:rsidRPr="00CE549C">
        <w:rPr>
          <w:i/>
          <w:position w:val="0"/>
          <w:lang w:val="es-ES"/>
        </w:rPr>
        <w:t>spot test</w:t>
      </w:r>
      <w:r w:rsidRPr="00CE549C">
        <w:rPr>
          <w:position w:val="0"/>
          <w:lang w:val="es-ES"/>
        </w:rPr>
        <w:t>, evaluando la inhibición del crecimiento de los patógenos mencionados (7 log UFC), en presencia</w:t>
      </w:r>
      <w:r w:rsidRPr="00CE549C">
        <w:rPr>
          <w:spacing w:val="-9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4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cultivos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i/>
          <w:position w:val="0"/>
          <w:lang w:val="es-ES"/>
        </w:rPr>
        <w:t>overnight</w:t>
      </w:r>
      <w:r w:rsidRPr="00CE549C">
        <w:rPr>
          <w:i/>
          <w:spacing w:val="-4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los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lactobacilos.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La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cepa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más</w:t>
      </w:r>
      <w:r w:rsidRPr="00CE549C">
        <w:rPr>
          <w:spacing w:val="-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inhibitoria</w:t>
      </w:r>
      <w:r w:rsidRPr="00CE549C">
        <w:rPr>
          <w:spacing w:val="-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-2"/>
          <w:position w:val="0"/>
          <w:lang w:val="es-ES"/>
        </w:rPr>
        <w:t xml:space="preserve"> </w:t>
      </w:r>
      <w:r w:rsidRPr="00CE549C">
        <w:rPr>
          <w:i/>
          <w:position w:val="0"/>
          <w:lang w:val="es-ES"/>
        </w:rPr>
        <w:t xml:space="preserve">E. </w:t>
      </w:r>
      <w:proofErr w:type="spellStart"/>
      <w:r w:rsidRPr="00CE549C">
        <w:rPr>
          <w:i/>
          <w:position w:val="0"/>
          <w:lang w:val="es-ES"/>
        </w:rPr>
        <w:t>coli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fue </w:t>
      </w:r>
      <w:r w:rsidRPr="00CE549C">
        <w:rPr>
          <w:i/>
          <w:position w:val="0"/>
          <w:lang w:val="es-ES"/>
        </w:rPr>
        <w:t xml:space="preserve">L. </w:t>
      </w:r>
      <w:proofErr w:type="spellStart"/>
      <w:r w:rsidRPr="00CE549C">
        <w:rPr>
          <w:i/>
          <w:position w:val="0"/>
          <w:lang w:val="es-ES"/>
        </w:rPr>
        <w:t>crispatus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 xml:space="preserve">M12a (30 ± 3 mm). Ninguna de las cepas mostró inhibición significativa, en ambas pruebas, sobre las 4 especies de </w:t>
      </w:r>
      <w:proofErr w:type="spellStart"/>
      <w:r w:rsidRPr="00CE549C">
        <w:rPr>
          <w:i/>
          <w:position w:val="0"/>
          <w:lang w:val="es-ES"/>
        </w:rPr>
        <w:t>Candida</w:t>
      </w:r>
      <w:proofErr w:type="spellEnd"/>
      <w:r w:rsidRPr="00CE549C">
        <w:rPr>
          <w:position w:val="0"/>
          <w:lang w:val="es-ES"/>
        </w:rPr>
        <w:t>. Paralelamente,</w:t>
      </w:r>
      <w:r w:rsidRPr="00CE549C">
        <w:rPr>
          <w:spacing w:val="31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se</w:t>
      </w:r>
      <w:r w:rsidRPr="00CE549C">
        <w:rPr>
          <w:spacing w:val="3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evaluó</w:t>
      </w:r>
      <w:r w:rsidRPr="00CE549C">
        <w:rPr>
          <w:spacing w:val="36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la</w:t>
      </w:r>
      <w:r w:rsidRPr="00CE549C">
        <w:rPr>
          <w:spacing w:val="35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capacidad</w:t>
      </w:r>
      <w:r w:rsidRPr="00CE549C">
        <w:rPr>
          <w:spacing w:val="34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3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inhibir</w:t>
      </w:r>
      <w:r w:rsidRPr="00CE549C">
        <w:rPr>
          <w:spacing w:val="33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la</w:t>
      </w:r>
      <w:r w:rsidRPr="00CE549C">
        <w:rPr>
          <w:spacing w:val="3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formación</w:t>
      </w:r>
      <w:r w:rsidRPr="00CE549C">
        <w:rPr>
          <w:spacing w:val="33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de</w:t>
      </w:r>
      <w:r w:rsidRPr="00CE549C">
        <w:rPr>
          <w:spacing w:val="33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hifas</w:t>
      </w:r>
      <w:r w:rsidRPr="00CE549C">
        <w:rPr>
          <w:spacing w:val="32"/>
          <w:position w:val="0"/>
          <w:lang w:val="es-ES"/>
        </w:rPr>
        <w:t xml:space="preserve"> </w:t>
      </w:r>
      <w:r w:rsidRPr="00CE549C">
        <w:rPr>
          <w:position w:val="0"/>
          <w:lang w:val="es-ES"/>
        </w:rPr>
        <w:t>en</w:t>
      </w:r>
      <w:r w:rsidRPr="00CE549C">
        <w:rPr>
          <w:spacing w:val="39"/>
          <w:position w:val="0"/>
          <w:lang w:val="es-ES"/>
        </w:rPr>
        <w:t xml:space="preserve"> </w:t>
      </w:r>
      <w:r w:rsidRPr="00CE549C">
        <w:rPr>
          <w:i/>
          <w:position w:val="0"/>
          <w:lang w:val="es-ES"/>
        </w:rPr>
        <w:t xml:space="preserve">C. </w:t>
      </w:r>
      <w:proofErr w:type="spellStart"/>
      <w:r w:rsidRPr="00CE549C">
        <w:rPr>
          <w:i/>
          <w:position w:val="0"/>
          <w:lang w:val="es-ES"/>
        </w:rPr>
        <w:t>albicans</w:t>
      </w:r>
      <w:proofErr w:type="spellEnd"/>
      <w:r w:rsidRPr="00CE549C">
        <w:rPr>
          <w:i/>
          <w:position w:val="0"/>
          <w:lang w:val="es-ES"/>
        </w:rPr>
        <w:t xml:space="preserve">. L. </w:t>
      </w:r>
      <w:proofErr w:type="spellStart"/>
      <w:r w:rsidRPr="00CE549C">
        <w:rPr>
          <w:i/>
          <w:position w:val="0"/>
          <w:lang w:val="es-ES"/>
        </w:rPr>
        <w:t>acidophilus</w:t>
      </w:r>
      <w:proofErr w:type="spellEnd"/>
      <w:r w:rsidRPr="00CE549C">
        <w:rPr>
          <w:i/>
          <w:position w:val="0"/>
          <w:lang w:val="es-ES"/>
        </w:rPr>
        <w:t>/</w:t>
      </w:r>
      <w:proofErr w:type="spellStart"/>
      <w:r w:rsidRPr="00CE549C">
        <w:rPr>
          <w:i/>
          <w:position w:val="0"/>
          <w:lang w:val="es-ES"/>
        </w:rPr>
        <w:t>gasseri</w:t>
      </w:r>
      <w:proofErr w:type="spellEnd"/>
      <w:r w:rsidRPr="00CE549C">
        <w:rPr>
          <w:i/>
          <w:position w:val="0"/>
          <w:lang w:val="es-ES"/>
        </w:rPr>
        <w:t xml:space="preserve"> </w:t>
      </w:r>
      <w:r w:rsidRPr="00CE549C">
        <w:rPr>
          <w:iCs/>
          <w:position w:val="0"/>
          <w:lang w:val="es-ES"/>
        </w:rPr>
        <w:t xml:space="preserve">M5 presentó la mayor capacidad inhibitoria (ratio hifas / células = 0,68 ± 0,07). Estos resultados iniciales demuestran el potencial de los lactobacilos vaginales como alternativa en la prevención y terapia de la salud urogenital </w:t>
      </w:r>
      <w:r w:rsidRPr="00CE549C">
        <w:rPr>
          <w:iCs/>
          <w:position w:val="0"/>
          <w:lang w:val="es-ES"/>
        </w:rPr>
        <w:lastRenderedPageBreak/>
        <w:t>femenina. Es menester profundizar en la evaluación funcional de las cepas y complementar con la caracterización tecnológica, en vista de su utilización a nivel industrial.</w:t>
      </w:r>
    </w:p>
    <w:p w14:paraId="5473E972" w14:textId="77777777" w:rsidR="00CE549C" w:rsidRDefault="00CE549C" w:rsidP="00CE549C">
      <w:pPr>
        <w:widowControl w:val="0"/>
        <w:suppressAutoHyphens w:val="0"/>
        <w:autoSpaceDE w:val="0"/>
        <w:autoSpaceDN w:val="0"/>
        <w:spacing w:after="0" w:line="242" w:lineRule="auto"/>
        <w:ind w:leftChars="0" w:left="139" w:right="124" w:firstLineChars="0" w:firstLine="0"/>
        <w:textDirection w:val="lrTb"/>
        <w:textAlignment w:val="auto"/>
        <w:outlineLvl w:val="9"/>
        <w:rPr>
          <w:iCs/>
          <w:position w:val="0"/>
          <w:lang w:val="es-ES"/>
        </w:rPr>
      </w:pPr>
    </w:p>
    <w:p w14:paraId="74AC37F1" w14:textId="0E9DBD4D" w:rsidR="00086A30" w:rsidRPr="00CE549C" w:rsidRDefault="00CE549C" w:rsidP="00CE549C">
      <w:pPr>
        <w:widowControl w:val="0"/>
        <w:suppressAutoHyphens w:val="0"/>
        <w:autoSpaceDE w:val="0"/>
        <w:autoSpaceDN w:val="0"/>
        <w:spacing w:after="0" w:line="242" w:lineRule="auto"/>
        <w:ind w:leftChars="0" w:left="139" w:right="124" w:firstLineChars="0" w:firstLine="0"/>
        <w:textDirection w:val="lrTb"/>
        <w:textAlignment w:val="auto"/>
        <w:outlineLvl w:val="9"/>
      </w:pPr>
      <w:r w:rsidRPr="00CE549C">
        <w:rPr>
          <w:iCs/>
          <w:position w:val="0"/>
          <w:lang w:val="es-ES"/>
        </w:rPr>
        <w:t>Palabras Clave</w:t>
      </w:r>
      <w:r w:rsidRPr="00CE549C">
        <w:rPr>
          <w:i/>
          <w:position w:val="0"/>
          <w:lang w:val="es-ES"/>
        </w:rPr>
        <w:t xml:space="preserve">: Lactobacillus, </w:t>
      </w:r>
      <w:r w:rsidRPr="00CE549C">
        <w:rPr>
          <w:iCs/>
          <w:position w:val="0"/>
          <w:lang w:val="es-ES"/>
        </w:rPr>
        <w:t>salud femenina, probióticos</w:t>
      </w:r>
      <w:r w:rsidRPr="00CE549C">
        <w:rPr>
          <w:i/>
          <w:position w:val="0"/>
          <w:lang w:val="es-ES"/>
        </w:rPr>
        <w:t>.</w:t>
      </w:r>
    </w:p>
    <w:p w14:paraId="5877B4BD" w14:textId="77777777" w:rsidR="00086A30" w:rsidRDefault="00086A30" w:rsidP="00CE549C">
      <w:pPr>
        <w:spacing w:after="0" w:line="240" w:lineRule="auto"/>
        <w:ind w:leftChars="0" w:left="0" w:firstLineChars="0" w:firstLine="0"/>
      </w:pPr>
    </w:p>
    <w:sectPr w:rsidR="00086A30" w:rsidSect="00CE549C">
      <w:headerReference w:type="default" r:id="rId9"/>
      <w:pgSz w:w="11907" w:h="16840"/>
      <w:pgMar w:top="1418" w:right="1418" w:bottom="1418" w:left="1418" w:header="794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C622" w14:textId="77777777" w:rsidR="00DD5D3C" w:rsidRDefault="00DD5D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F88979" w14:textId="77777777" w:rsidR="00DD5D3C" w:rsidRDefault="00DD5D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3B7D" w14:textId="77777777" w:rsidR="00DD5D3C" w:rsidRDefault="00DD5D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D10152" w14:textId="77777777" w:rsidR="00DD5D3C" w:rsidRDefault="00DD5D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F957" w14:textId="77777777" w:rsidR="00086A30" w:rsidRDefault="00FE1C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A4B54A" wp14:editId="02CB9ED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2C7"/>
    <w:multiLevelType w:val="hybridMultilevel"/>
    <w:tmpl w:val="DA5467A4"/>
    <w:lvl w:ilvl="0" w:tplc="938E484E">
      <w:start w:val="1"/>
      <w:numFmt w:val="decimal"/>
      <w:lvlText w:val="(%1)"/>
      <w:lvlJc w:val="left"/>
      <w:pPr>
        <w:ind w:left="142" w:hanging="406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2BF4AB5C">
      <w:numFmt w:val="bullet"/>
      <w:lvlText w:val="•"/>
      <w:lvlJc w:val="left"/>
      <w:pPr>
        <w:ind w:left="1004" w:hanging="406"/>
      </w:pPr>
      <w:rPr>
        <w:rFonts w:hint="default"/>
        <w:lang w:val="es-ES" w:eastAsia="en-US" w:bidi="ar-SA"/>
      </w:rPr>
    </w:lvl>
    <w:lvl w:ilvl="2" w:tplc="908EFA0E">
      <w:numFmt w:val="bullet"/>
      <w:lvlText w:val="•"/>
      <w:lvlJc w:val="left"/>
      <w:pPr>
        <w:ind w:left="1869" w:hanging="406"/>
      </w:pPr>
      <w:rPr>
        <w:rFonts w:hint="default"/>
        <w:lang w:val="es-ES" w:eastAsia="en-US" w:bidi="ar-SA"/>
      </w:rPr>
    </w:lvl>
    <w:lvl w:ilvl="3" w:tplc="6CEAB1AA">
      <w:numFmt w:val="bullet"/>
      <w:lvlText w:val="•"/>
      <w:lvlJc w:val="left"/>
      <w:pPr>
        <w:ind w:left="2733" w:hanging="406"/>
      </w:pPr>
      <w:rPr>
        <w:rFonts w:hint="default"/>
        <w:lang w:val="es-ES" w:eastAsia="en-US" w:bidi="ar-SA"/>
      </w:rPr>
    </w:lvl>
    <w:lvl w:ilvl="4" w:tplc="5C3CC71C">
      <w:numFmt w:val="bullet"/>
      <w:lvlText w:val="•"/>
      <w:lvlJc w:val="left"/>
      <w:pPr>
        <w:ind w:left="3598" w:hanging="406"/>
      </w:pPr>
      <w:rPr>
        <w:rFonts w:hint="default"/>
        <w:lang w:val="es-ES" w:eastAsia="en-US" w:bidi="ar-SA"/>
      </w:rPr>
    </w:lvl>
    <w:lvl w:ilvl="5" w:tplc="323A5CD8">
      <w:numFmt w:val="bullet"/>
      <w:lvlText w:val="•"/>
      <w:lvlJc w:val="left"/>
      <w:pPr>
        <w:ind w:left="4463" w:hanging="406"/>
      </w:pPr>
      <w:rPr>
        <w:rFonts w:hint="default"/>
        <w:lang w:val="es-ES" w:eastAsia="en-US" w:bidi="ar-SA"/>
      </w:rPr>
    </w:lvl>
    <w:lvl w:ilvl="6" w:tplc="55DAE51A">
      <w:numFmt w:val="bullet"/>
      <w:lvlText w:val="•"/>
      <w:lvlJc w:val="left"/>
      <w:pPr>
        <w:ind w:left="5327" w:hanging="406"/>
      </w:pPr>
      <w:rPr>
        <w:rFonts w:hint="default"/>
        <w:lang w:val="es-ES" w:eastAsia="en-US" w:bidi="ar-SA"/>
      </w:rPr>
    </w:lvl>
    <w:lvl w:ilvl="7" w:tplc="ABAA4E82">
      <w:numFmt w:val="bullet"/>
      <w:lvlText w:val="•"/>
      <w:lvlJc w:val="left"/>
      <w:pPr>
        <w:ind w:left="6192" w:hanging="406"/>
      </w:pPr>
      <w:rPr>
        <w:rFonts w:hint="default"/>
        <w:lang w:val="es-ES" w:eastAsia="en-US" w:bidi="ar-SA"/>
      </w:rPr>
    </w:lvl>
    <w:lvl w:ilvl="8" w:tplc="4A5E8020">
      <w:numFmt w:val="bullet"/>
      <w:lvlText w:val="•"/>
      <w:lvlJc w:val="left"/>
      <w:pPr>
        <w:ind w:left="7057" w:hanging="406"/>
      </w:pPr>
      <w:rPr>
        <w:rFonts w:hint="default"/>
        <w:lang w:val="es-ES" w:eastAsia="en-US" w:bidi="ar-SA"/>
      </w:rPr>
    </w:lvl>
  </w:abstractNum>
  <w:num w:numId="1" w16cid:durableId="13543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30"/>
    <w:rsid w:val="00086A30"/>
    <w:rsid w:val="00934A81"/>
    <w:rsid w:val="00CE549C"/>
    <w:rsid w:val="00DD5D3C"/>
    <w:rsid w:val="00E25427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FB0"/>
  <w15:docId w15:val="{22CDE5F8-3EA8-402C-9D1D-7E40C5A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ck@fbcb.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2022-08-18T09:12:00Z</dcterms:created>
  <dcterms:modified xsi:type="dcterms:W3CDTF">2022-08-18T09:14:00Z</dcterms:modified>
</cp:coreProperties>
</file>