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93BCD" w:rsidRDefault="00000000">
      <w:pPr>
        <w:pStyle w:val="Ttulo"/>
        <w:spacing w:line="242" w:lineRule="auto"/>
        <w:ind w:firstLine="170"/>
      </w:pPr>
      <w:r>
        <w:t>Calidad microbiológica de barritas de frutas deshidratadas y frutos secos aptas para celíacos</w:t>
      </w:r>
    </w:p>
    <w:p w14:paraId="00000002" w14:textId="77777777" w:rsidR="00593BCD" w:rsidRDefault="00593BCD">
      <w:pPr>
        <w:pBdr>
          <w:top w:val="nil"/>
          <w:left w:val="nil"/>
          <w:bottom w:val="nil"/>
          <w:right w:val="nil"/>
          <w:between w:val="nil"/>
        </w:pBdr>
        <w:spacing w:before="5"/>
        <w:rPr>
          <w:rFonts w:ascii="Arial" w:eastAsia="Arial" w:hAnsi="Arial" w:cs="Arial"/>
          <w:b/>
          <w:color w:val="000000"/>
          <w:sz w:val="23"/>
          <w:szCs w:val="23"/>
        </w:rPr>
      </w:pPr>
    </w:p>
    <w:p w14:paraId="00000003" w14:textId="77777777" w:rsidR="00593BCD" w:rsidRPr="002E2D07" w:rsidRDefault="00000000">
      <w:pPr>
        <w:pBdr>
          <w:top w:val="nil"/>
          <w:left w:val="nil"/>
          <w:bottom w:val="nil"/>
          <w:right w:val="nil"/>
          <w:between w:val="nil"/>
        </w:pBdr>
        <w:spacing w:before="1" w:line="242" w:lineRule="auto"/>
        <w:ind w:left="170" w:right="169"/>
        <w:jc w:val="center"/>
        <w:rPr>
          <w:color w:val="000000"/>
          <w:sz w:val="24"/>
          <w:szCs w:val="24"/>
          <w:lang w:val="en-US"/>
        </w:rPr>
      </w:pPr>
      <w:r w:rsidRPr="002E2D07">
        <w:rPr>
          <w:color w:val="000000"/>
          <w:sz w:val="24"/>
          <w:szCs w:val="24"/>
          <w:lang w:val="en-US"/>
        </w:rPr>
        <w:t>Daniele,</w:t>
      </w:r>
      <w:sdt>
        <w:sdtPr>
          <w:tag w:val="goog_rdk_0"/>
          <w:id w:val="-136876634"/>
        </w:sdtPr>
        <w:sdtContent>
          <w:commentRangeStart w:id="0"/>
        </w:sdtContent>
      </w:sdt>
      <w:r w:rsidRPr="002E2D07">
        <w:rPr>
          <w:color w:val="000000"/>
          <w:sz w:val="24"/>
          <w:szCs w:val="24"/>
          <w:lang w:val="en-US"/>
        </w:rPr>
        <w:t xml:space="preserve"> M. J.</w:t>
      </w:r>
      <w:commentRangeEnd w:id="0"/>
      <w:r>
        <w:commentReference w:id="0"/>
      </w:r>
      <w:r w:rsidRPr="002E2D07">
        <w:rPr>
          <w:color w:val="000000"/>
          <w:sz w:val="24"/>
          <w:szCs w:val="24"/>
          <w:lang w:val="en-US"/>
        </w:rPr>
        <w:t xml:space="preserve"> (1), </w:t>
      </w:r>
      <w:proofErr w:type="spellStart"/>
      <w:r w:rsidRPr="002E2D07">
        <w:rPr>
          <w:color w:val="000000"/>
          <w:sz w:val="24"/>
          <w:szCs w:val="24"/>
          <w:lang w:val="en-US"/>
        </w:rPr>
        <w:t>Urfalino</w:t>
      </w:r>
      <w:proofErr w:type="spellEnd"/>
      <w:r w:rsidRPr="002E2D07">
        <w:rPr>
          <w:color w:val="000000"/>
          <w:sz w:val="24"/>
          <w:szCs w:val="24"/>
          <w:lang w:val="en-US"/>
        </w:rPr>
        <w:t xml:space="preserve">, D. P. (1), </w:t>
      </w:r>
      <w:proofErr w:type="spellStart"/>
      <w:r w:rsidRPr="002E2D07">
        <w:rPr>
          <w:color w:val="000000"/>
          <w:sz w:val="24"/>
          <w:szCs w:val="24"/>
          <w:lang w:val="en-US"/>
        </w:rPr>
        <w:t>Worlock</w:t>
      </w:r>
      <w:proofErr w:type="spellEnd"/>
      <w:r w:rsidRPr="002E2D07">
        <w:rPr>
          <w:color w:val="000000"/>
          <w:sz w:val="24"/>
          <w:szCs w:val="24"/>
          <w:lang w:val="en-US"/>
        </w:rPr>
        <w:t xml:space="preserve">, J. (1), </w:t>
      </w:r>
      <w:proofErr w:type="spellStart"/>
      <w:r w:rsidRPr="002E2D07">
        <w:rPr>
          <w:color w:val="000000"/>
          <w:sz w:val="24"/>
          <w:szCs w:val="24"/>
          <w:lang w:val="en-US"/>
        </w:rPr>
        <w:t>Denoya</w:t>
      </w:r>
      <w:proofErr w:type="spellEnd"/>
      <w:r w:rsidRPr="002E2D07">
        <w:rPr>
          <w:color w:val="000000"/>
          <w:sz w:val="24"/>
          <w:szCs w:val="24"/>
          <w:lang w:val="en-US"/>
        </w:rPr>
        <w:t xml:space="preserve">, G. I. (2), </w:t>
      </w:r>
      <w:proofErr w:type="spellStart"/>
      <w:r w:rsidRPr="002E2D07">
        <w:rPr>
          <w:color w:val="000000"/>
          <w:sz w:val="24"/>
          <w:szCs w:val="24"/>
          <w:lang w:val="en-US"/>
        </w:rPr>
        <w:t>Ninago</w:t>
      </w:r>
      <w:proofErr w:type="spellEnd"/>
      <w:r w:rsidRPr="002E2D07">
        <w:rPr>
          <w:color w:val="000000"/>
          <w:sz w:val="24"/>
          <w:szCs w:val="24"/>
          <w:lang w:val="en-US"/>
        </w:rPr>
        <w:t>, M. D. (3), López, O. V. (4)</w:t>
      </w:r>
    </w:p>
    <w:p w14:paraId="00000004" w14:textId="77777777" w:rsidR="00593BCD" w:rsidRPr="002E2D07" w:rsidRDefault="00593BCD">
      <w:pPr>
        <w:pBdr>
          <w:top w:val="nil"/>
          <w:left w:val="nil"/>
          <w:bottom w:val="nil"/>
          <w:right w:val="nil"/>
          <w:between w:val="nil"/>
        </w:pBdr>
        <w:spacing w:before="10"/>
        <w:rPr>
          <w:color w:val="000000"/>
          <w:sz w:val="23"/>
          <w:szCs w:val="23"/>
          <w:lang w:val="en-US"/>
        </w:rPr>
      </w:pPr>
    </w:p>
    <w:p w14:paraId="00000005" w14:textId="77777777" w:rsidR="00593BCD" w:rsidRDefault="00000000">
      <w:pPr>
        <w:numPr>
          <w:ilvl w:val="0"/>
          <w:numId w:val="1"/>
        </w:numPr>
        <w:pBdr>
          <w:top w:val="nil"/>
          <w:left w:val="nil"/>
          <w:bottom w:val="nil"/>
          <w:right w:val="nil"/>
          <w:between w:val="nil"/>
        </w:pBdr>
        <w:tabs>
          <w:tab w:val="left" w:pos="480"/>
        </w:tabs>
        <w:spacing w:line="242" w:lineRule="auto"/>
        <w:ind w:right="352" w:hanging="3"/>
        <w:rPr>
          <w:color w:val="000000"/>
          <w:sz w:val="24"/>
          <w:szCs w:val="24"/>
        </w:rPr>
      </w:pPr>
      <w:sdt>
        <w:sdtPr>
          <w:tag w:val="goog_rdk_1"/>
          <w:id w:val="-1249568696"/>
        </w:sdtPr>
        <w:sdtContent>
          <w:commentRangeStart w:id="1"/>
        </w:sdtContent>
      </w:sdt>
      <w:r>
        <w:rPr>
          <w:color w:val="000000"/>
          <w:sz w:val="24"/>
          <w:szCs w:val="24"/>
        </w:rPr>
        <w:t>INTA EEA</w:t>
      </w:r>
      <w:commentRangeEnd w:id="1"/>
      <w:r>
        <w:commentReference w:id="1"/>
      </w:r>
      <w:r>
        <w:rPr>
          <w:color w:val="000000"/>
          <w:sz w:val="24"/>
          <w:szCs w:val="24"/>
        </w:rPr>
        <w:t xml:space="preserve"> Rama Caída, El Vivero s/n Rama Caída, San Rafael, Mendoza, Argentina.</w:t>
      </w:r>
    </w:p>
    <w:p w14:paraId="00000006" w14:textId="77777777" w:rsidR="00593BCD" w:rsidRDefault="00000000">
      <w:pPr>
        <w:numPr>
          <w:ilvl w:val="0"/>
          <w:numId w:val="1"/>
        </w:numPr>
        <w:pBdr>
          <w:top w:val="nil"/>
          <w:left w:val="nil"/>
          <w:bottom w:val="nil"/>
          <w:right w:val="nil"/>
          <w:between w:val="nil"/>
        </w:pBdr>
        <w:tabs>
          <w:tab w:val="left" w:pos="480"/>
        </w:tabs>
        <w:spacing w:before="120" w:line="242" w:lineRule="auto"/>
        <w:ind w:right="255" w:hanging="3"/>
        <w:rPr>
          <w:color w:val="000000"/>
          <w:sz w:val="24"/>
          <w:szCs w:val="24"/>
        </w:rPr>
      </w:pPr>
      <w:r>
        <w:rPr>
          <w:color w:val="000000"/>
          <w:sz w:val="24"/>
          <w:szCs w:val="24"/>
        </w:rPr>
        <w:t>Instituto De Investigación Tecnología de Alimentos (ITA), Nicolás Repetto y de los Reseros s/n, Hurlingham, Buenos Aires.</w:t>
      </w:r>
    </w:p>
    <w:p w14:paraId="00000007" w14:textId="77777777" w:rsidR="00593BCD" w:rsidRDefault="00000000">
      <w:pPr>
        <w:numPr>
          <w:ilvl w:val="0"/>
          <w:numId w:val="1"/>
        </w:numPr>
        <w:pBdr>
          <w:top w:val="nil"/>
          <w:left w:val="nil"/>
          <w:bottom w:val="nil"/>
          <w:right w:val="nil"/>
          <w:between w:val="nil"/>
        </w:pBdr>
        <w:tabs>
          <w:tab w:val="left" w:pos="480"/>
        </w:tabs>
        <w:spacing w:before="120"/>
        <w:ind w:right="557" w:hanging="3"/>
        <w:rPr>
          <w:color w:val="000000"/>
          <w:sz w:val="24"/>
          <w:szCs w:val="24"/>
        </w:rPr>
      </w:pPr>
      <w:r>
        <w:rPr>
          <w:color w:val="000000"/>
          <w:sz w:val="24"/>
          <w:szCs w:val="24"/>
        </w:rPr>
        <w:t>Consejo Nacional de Investigaciones Científicas y Técnicas (CONICET), Godoy Cruz 2290, Ciudad Autónoma de Buenos Aires, Buenos Aires, Argentina.</w:t>
      </w:r>
    </w:p>
    <w:p w14:paraId="00000008" w14:textId="77777777" w:rsidR="00593BCD" w:rsidRDefault="00000000">
      <w:pPr>
        <w:numPr>
          <w:ilvl w:val="0"/>
          <w:numId w:val="1"/>
        </w:numPr>
        <w:pBdr>
          <w:top w:val="nil"/>
          <w:left w:val="nil"/>
          <w:bottom w:val="nil"/>
          <w:right w:val="nil"/>
          <w:between w:val="nil"/>
        </w:pBdr>
        <w:tabs>
          <w:tab w:val="left" w:pos="480"/>
        </w:tabs>
        <w:spacing w:before="125" w:line="242" w:lineRule="auto"/>
        <w:ind w:right="395" w:hanging="3"/>
        <w:rPr>
          <w:color w:val="000000"/>
          <w:sz w:val="24"/>
          <w:szCs w:val="24"/>
        </w:rPr>
      </w:pPr>
      <w:r>
        <w:rPr>
          <w:color w:val="000000"/>
          <w:sz w:val="24"/>
          <w:szCs w:val="24"/>
        </w:rPr>
        <w:t>Planta Piloto de Ingeniería Química, PLAPIQUI (UNS-CONICET), Camino ‘‘La Carrindanga’’ Km 7, Bahía Blanca, Buenos Aires, Argentina.</w:t>
      </w:r>
    </w:p>
    <w:p w14:paraId="00000009" w14:textId="77777777" w:rsidR="00593BCD" w:rsidRDefault="00000000">
      <w:pPr>
        <w:pBdr>
          <w:top w:val="nil"/>
          <w:left w:val="nil"/>
          <w:bottom w:val="nil"/>
          <w:right w:val="nil"/>
          <w:between w:val="nil"/>
        </w:pBdr>
        <w:spacing w:before="119"/>
        <w:ind w:left="119"/>
        <w:jc w:val="both"/>
        <w:rPr>
          <w:color w:val="000000"/>
          <w:sz w:val="24"/>
          <w:szCs w:val="24"/>
        </w:rPr>
      </w:pPr>
      <w:r>
        <w:rPr>
          <w:strike/>
          <w:color w:val="000000"/>
          <w:sz w:val="24"/>
          <w:szCs w:val="24"/>
        </w:rPr>
        <w:t>Dirección de e-mail</w:t>
      </w:r>
      <w:r>
        <w:rPr>
          <w:color w:val="000000"/>
          <w:sz w:val="24"/>
          <w:szCs w:val="24"/>
        </w:rPr>
        <w:t xml:space="preserve">: </w:t>
      </w:r>
      <w:hyperlink r:id="rId11">
        <w:r>
          <w:rPr>
            <w:color w:val="000000"/>
            <w:sz w:val="24"/>
            <w:szCs w:val="24"/>
          </w:rPr>
          <w:t>daniele.martin@inta.gob.ar</w:t>
        </w:r>
      </w:hyperlink>
    </w:p>
    <w:p w14:paraId="0000000A" w14:textId="77777777" w:rsidR="00593BCD" w:rsidRDefault="00593BCD">
      <w:pPr>
        <w:pBdr>
          <w:top w:val="nil"/>
          <w:left w:val="nil"/>
          <w:bottom w:val="nil"/>
          <w:right w:val="nil"/>
          <w:between w:val="nil"/>
        </w:pBdr>
        <w:spacing w:before="10"/>
        <w:rPr>
          <w:color w:val="000000"/>
          <w:sz w:val="34"/>
          <w:szCs w:val="34"/>
        </w:rPr>
      </w:pPr>
    </w:p>
    <w:p w14:paraId="0000000B" w14:textId="77777777" w:rsidR="00593BCD" w:rsidRDefault="00000000">
      <w:pPr>
        <w:pBdr>
          <w:top w:val="nil"/>
          <w:left w:val="nil"/>
          <w:bottom w:val="nil"/>
          <w:right w:val="nil"/>
          <w:between w:val="nil"/>
        </w:pBdr>
        <w:ind w:left="119"/>
        <w:rPr>
          <w:strike/>
          <w:color w:val="000000"/>
          <w:sz w:val="24"/>
          <w:szCs w:val="24"/>
        </w:rPr>
      </w:pPr>
      <w:r>
        <w:rPr>
          <w:strike/>
          <w:color w:val="000000"/>
          <w:sz w:val="24"/>
          <w:szCs w:val="24"/>
        </w:rPr>
        <w:t>RESUMEN</w:t>
      </w:r>
    </w:p>
    <w:p w14:paraId="0000000C" w14:textId="77777777" w:rsidR="00593BCD" w:rsidRDefault="00593BCD">
      <w:pPr>
        <w:pBdr>
          <w:top w:val="nil"/>
          <w:left w:val="nil"/>
          <w:bottom w:val="nil"/>
          <w:right w:val="nil"/>
          <w:between w:val="nil"/>
        </w:pBdr>
        <w:spacing w:before="2"/>
        <w:rPr>
          <w:color w:val="000000"/>
          <w:sz w:val="24"/>
          <w:szCs w:val="24"/>
        </w:rPr>
      </w:pPr>
    </w:p>
    <w:p w14:paraId="0000000D" w14:textId="77777777" w:rsidR="00593BCD" w:rsidRDefault="00000000">
      <w:pPr>
        <w:pBdr>
          <w:top w:val="nil"/>
          <w:left w:val="nil"/>
          <w:bottom w:val="nil"/>
          <w:right w:val="nil"/>
          <w:between w:val="nil"/>
        </w:pBdr>
        <w:spacing w:line="242" w:lineRule="auto"/>
        <w:ind w:left="119" w:right="111"/>
        <w:jc w:val="both"/>
        <w:rPr>
          <w:color w:val="000000"/>
          <w:sz w:val="24"/>
          <w:szCs w:val="24"/>
        </w:rPr>
      </w:pPr>
      <w:bookmarkStart w:id="2" w:name="_heading=h.gjdgxs" w:colFirst="0" w:colLast="0"/>
      <w:bookmarkEnd w:id="2"/>
      <w:r>
        <w:rPr>
          <w:color w:val="000000"/>
          <w:sz w:val="24"/>
          <w:szCs w:val="24"/>
        </w:rPr>
        <w:t xml:space="preserve">Mendoza es una provincia frutícola por excelencia, lo cual ha ocasionado la instalación de los secaderos e industrias frutícolas más relevantes del país. El deshidratado de frutas se ha realizado durante años en esta región y es considerado una actividad tradicional. </w:t>
      </w:r>
      <w:sdt>
        <w:sdtPr>
          <w:tag w:val="goog_rdk_2"/>
          <w:id w:val="1066151483"/>
        </w:sdtPr>
        <w:sdtContent>
          <w:commentRangeStart w:id="3"/>
        </w:sdtContent>
      </w:sdt>
      <w:r>
        <w:rPr>
          <w:color w:val="000000"/>
          <w:sz w:val="24"/>
          <w:szCs w:val="24"/>
        </w:rPr>
        <w:t xml:space="preserve">Un elevado porcentaje del deshidratado se realiza al sol; </w:t>
      </w:r>
      <w:commentRangeEnd w:id="3"/>
      <w:r>
        <w:commentReference w:id="3"/>
      </w:r>
      <w:r>
        <w:rPr>
          <w:color w:val="000000"/>
          <w:sz w:val="24"/>
          <w:szCs w:val="24"/>
        </w:rPr>
        <w:t xml:space="preserve">por lo tanto, es de gran importancia que los productores no pierdan de vista que el producto obtenido es un alimento y como tal hay requisitos mínimos de higiene que deben cumplirse para asegurar su inocuidad. Estos requisitos comienzan desde la calidad de la materia prima e incluyen el lugar de elaboración, materiales de trabajo, personal y manejo del producto obtenido (especialmente durante el almacenamiento). La concientización y compromiso por parte de los productores y de todo el personal involucrado es indispensable para lograr una calidad digna de los consumidores más exigentes. Es importante tener presente que en los países en que se ha incrementado el consumo de frutas deshidratadas ha sido debido a fuertes campañas de promoción respecto a sus propiedades nutricionales. En estos países (fundamentalmente Europa y Asia) el consumo de frutas deshidratadas se realiza a modo de snacks listos para consumir, por lo cual la calidad microbiológica e inocuidad son prioritarias. </w:t>
      </w:r>
      <w:sdt>
        <w:sdtPr>
          <w:tag w:val="goog_rdk_3"/>
          <w:id w:val="-1107505890"/>
        </w:sdtPr>
        <w:sdtContent>
          <w:commentRangeStart w:id="4"/>
        </w:sdtContent>
      </w:sdt>
      <w:r>
        <w:rPr>
          <w:color w:val="000000"/>
          <w:sz w:val="24"/>
          <w:szCs w:val="24"/>
        </w:rPr>
        <w:t>El objetivo del presente trabajo fue determinar la calidad microbiológica de dos barritas elaboradas con frutas deshidratadas y frutos secos con un recubrimiento funcional comestible apto para celíacos.</w:t>
      </w:r>
      <w:commentRangeEnd w:id="4"/>
      <w:r>
        <w:commentReference w:id="4"/>
      </w:r>
      <w:r>
        <w:rPr>
          <w:color w:val="000000"/>
          <w:sz w:val="24"/>
          <w:szCs w:val="24"/>
        </w:rPr>
        <w:t xml:space="preserve"> Para elaborar las barritas se preparó el jarabe, se calentó y se añadió a los frutos (Formulación 1: pera 8,5%, ciruela 28,8%, durazno 16,9%, arándanos rojos 5,1%, maní 16,9, chía 4,2, sésamo</w:t>
      </w:r>
    </w:p>
    <w:p w14:paraId="0000000E" w14:textId="77777777" w:rsidR="00593BCD" w:rsidRDefault="00000000">
      <w:pPr>
        <w:pBdr>
          <w:top w:val="nil"/>
          <w:left w:val="nil"/>
          <w:bottom w:val="nil"/>
          <w:right w:val="nil"/>
          <w:between w:val="nil"/>
        </w:pBdr>
        <w:spacing w:line="261" w:lineRule="auto"/>
        <w:ind w:left="119"/>
        <w:jc w:val="both"/>
        <w:rPr>
          <w:color w:val="000000"/>
          <w:sz w:val="24"/>
          <w:szCs w:val="24"/>
        </w:rPr>
      </w:pPr>
      <w:r>
        <w:rPr>
          <w:color w:val="000000"/>
          <w:sz w:val="24"/>
          <w:szCs w:val="24"/>
        </w:rPr>
        <w:t xml:space="preserve">4,2%, azúcar </w:t>
      </w:r>
      <w:proofErr w:type="spellStart"/>
      <w:r>
        <w:rPr>
          <w:color w:val="000000"/>
          <w:sz w:val="24"/>
          <w:szCs w:val="24"/>
        </w:rPr>
        <w:t>mascabo</w:t>
      </w:r>
      <w:proofErr w:type="spellEnd"/>
      <w:r>
        <w:rPr>
          <w:color w:val="000000"/>
          <w:sz w:val="24"/>
          <w:szCs w:val="24"/>
        </w:rPr>
        <w:t xml:space="preserve"> 9,3%, miel 5,9%. Formulación 2: pera 8,5%, durazno</w:t>
      </w:r>
    </w:p>
    <w:p w14:paraId="0000000F" w14:textId="77777777" w:rsidR="00593BCD" w:rsidRDefault="00000000">
      <w:pPr>
        <w:pBdr>
          <w:top w:val="nil"/>
          <w:left w:val="nil"/>
          <w:bottom w:val="nil"/>
          <w:right w:val="nil"/>
          <w:between w:val="nil"/>
        </w:pBdr>
        <w:spacing w:before="3" w:line="242" w:lineRule="auto"/>
        <w:ind w:left="119" w:right="112"/>
        <w:jc w:val="both"/>
        <w:rPr>
          <w:color w:val="000000"/>
          <w:sz w:val="24"/>
          <w:szCs w:val="24"/>
        </w:rPr>
        <w:sectPr w:rsidR="00593BCD">
          <w:headerReference w:type="default" r:id="rId12"/>
          <w:pgSz w:w="11910" w:h="16850"/>
          <w:pgMar w:top="1380" w:right="1580" w:bottom="280" w:left="1580" w:header="362" w:footer="720" w:gutter="0"/>
          <w:pgNumType w:start="1"/>
          <w:cols w:space="720"/>
        </w:sectPr>
      </w:pPr>
      <w:r>
        <w:rPr>
          <w:color w:val="000000"/>
          <w:sz w:val="24"/>
          <w:szCs w:val="24"/>
        </w:rPr>
        <w:t xml:space="preserve">21,2%, frutilla 4,2%, pasas 21,2%, manzana 4,2%, maní 16,9%, sésamo 8,5%, azúcar </w:t>
      </w:r>
      <w:proofErr w:type="spellStart"/>
      <w:r>
        <w:rPr>
          <w:color w:val="000000"/>
          <w:sz w:val="24"/>
          <w:szCs w:val="24"/>
        </w:rPr>
        <w:t>mascabo</w:t>
      </w:r>
      <w:proofErr w:type="spellEnd"/>
      <w:r>
        <w:rPr>
          <w:color w:val="000000"/>
          <w:sz w:val="24"/>
          <w:szCs w:val="24"/>
        </w:rPr>
        <w:t xml:space="preserve"> 10,7%, miel 4,6%.). Se mezclaron los ingredientes, laminaron, compactaron, alisaron, enfriaron y cortaron. Se incorporó un recubrimiento comestible funcional de almidón de mandioca y antioxidantes naturales (resveratrol). A las barritas obtenidas se le realizaron análisis microbiológicos por triplicado, utilizando placas Petrifilm de 3M, determinando la presencia de</w:t>
      </w:r>
    </w:p>
    <w:p w14:paraId="00000010" w14:textId="77777777" w:rsidR="00593BCD" w:rsidRDefault="00000000">
      <w:pPr>
        <w:pBdr>
          <w:top w:val="nil"/>
          <w:left w:val="nil"/>
          <w:bottom w:val="nil"/>
          <w:right w:val="nil"/>
          <w:between w:val="nil"/>
        </w:pBdr>
        <w:spacing w:before="17" w:line="242" w:lineRule="auto"/>
        <w:ind w:left="119" w:right="110"/>
        <w:jc w:val="both"/>
        <w:rPr>
          <w:color w:val="000000"/>
          <w:sz w:val="24"/>
          <w:szCs w:val="24"/>
        </w:rPr>
      </w:pPr>
      <w:r>
        <w:rPr>
          <w:color w:val="000000"/>
          <w:sz w:val="24"/>
          <w:szCs w:val="24"/>
        </w:rPr>
        <w:lastRenderedPageBreak/>
        <w:t xml:space="preserve">aerobios mesófilos, hongos y levaduras, coliformes totales y </w:t>
      </w:r>
      <w:proofErr w:type="spellStart"/>
      <w:r>
        <w:rPr>
          <w:rFonts w:ascii="Arial" w:eastAsia="Arial" w:hAnsi="Arial" w:cs="Arial"/>
          <w:i/>
          <w:color w:val="000000"/>
          <w:sz w:val="24"/>
          <w:szCs w:val="24"/>
        </w:rPr>
        <w:t>Escherichia</w:t>
      </w:r>
      <w:proofErr w:type="spellEnd"/>
      <w:r>
        <w:rPr>
          <w:rFonts w:ascii="Arial" w:eastAsia="Arial" w:hAnsi="Arial" w:cs="Arial"/>
          <w:i/>
          <w:color w:val="000000"/>
          <w:sz w:val="24"/>
          <w:szCs w:val="24"/>
        </w:rPr>
        <w:t xml:space="preserve"> </w:t>
      </w:r>
      <w:proofErr w:type="spellStart"/>
      <w:r>
        <w:rPr>
          <w:rFonts w:ascii="Arial" w:eastAsia="Arial" w:hAnsi="Arial" w:cs="Arial"/>
          <w:i/>
          <w:color w:val="000000"/>
          <w:sz w:val="24"/>
          <w:szCs w:val="24"/>
        </w:rPr>
        <w:t>coli</w:t>
      </w:r>
      <w:proofErr w:type="spellEnd"/>
      <w:r>
        <w:rPr>
          <w:color w:val="000000"/>
          <w:sz w:val="24"/>
          <w:szCs w:val="24"/>
        </w:rPr>
        <w:t>. Los resultados obtenidos (</w:t>
      </w:r>
      <w:sdt>
        <w:sdtPr>
          <w:tag w:val="goog_rdk_4"/>
          <w:id w:val="1029297791"/>
        </w:sdtPr>
        <w:sdtContent>
          <w:commentRangeStart w:id="5"/>
        </w:sdtContent>
      </w:sdt>
      <w:r>
        <w:rPr>
          <w:color w:val="000000"/>
          <w:sz w:val="24"/>
          <w:szCs w:val="24"/>
        </w:rPr>
        <w:t>recuento total en placa &lt;3.000 UFC/g</w:t>
      </w:r>
      <w:commentRangeEnd w:id="5"/>
      <w:r>
        <w:commentReference w:id="5"/>
      </w:r>
      <w:r>
        <w:rPr>
          <w:color w:val="000000"/>
          <w:sz w:val="24"/>
          <w:szCs w:val="24"/>
        </w:rPr>
        <w:t>; hongos y levaduras</w:t>
      </w:r>
    </w:p>
    <w:p w14:paraId="00000011" w14:textId="77777777" w:rsidR="00593BCD" w:rsidRDefault="00000000">
      <w:pPr>
        <w:pBdr>
          <w:top w:val="nil"/>
          <w:left w:val="nil"/>
          <w:bottom w:val="nil"/>
          <w:right w:val="nil"/>
          <w:between w:val="nil"/>
        </w:pBdr>
        <w:spacing w:line="242" w:lineRule="auto"/>
        <w:ind w:left="119" w:right="114"/>
        <w:jc w:val="both"/>
        <w:rPr>
          <w:color w:val="000000"/>
          <w:sz w:val="24"/>
          <w:szCs w:val="24"/>
        </w:rPr>
      </w:pPr>
      <w:r>
        <w:rPr>
          <w:color w:val="000000"/>
          <w:sz w:val="24"/>
          <w:szCs w:val="24"/>
        </w:rPr>
        <w:t xml:space="preserve">&lt;500 UFC/g, coliformes totales &lt;10 UFC/g y </w:t>
      </w:r>
      <w:sdt>
        <w:sdtPr>
          <w:tag w:val="goog_rdk_5"/>
          <w:id w:val="167149130"/>
        </w:sdtPr>
        <w:sdtContent>
          <w:commentRangeStart w:id="6"/>
        </w:sdtContent>
      </w:sdt>
      <w:r>
        <w:rPr>
          <w:color w:val="000000"/>
          <w:sz w:val="24"/>
          <w:szCs w:val="24"/>
        </w:rPr>
        <w:t xml:space="preserve">E. </w:t>
      </w:r>
      <w:proofErr w:type="spellStart"/>
      <w:r>
        <w:rPr>
          <w:color w:val="000000"/>
          <w:sz w:val="24"/>
          <w:szCs w:val="24"/>
        </w:rPr>
        <w:t>Coli</w:t>
      </w:r>
      <w:proofErr w:type="spellEnd"/>
      <w:r>
        <w:rPr>
          <w:color w:val="000000"/>
          <w:sz w:val="24"/>
          <w:szCs w:val="24"/>
        </w:rPr>
        <w:t xml:space="preserve"> </w:t>
      </w:r>
      <w:commentRangeEnd w:id="6"/>
      <w:r>
        <w:commentReference w:id="6"/>
      </w:r>
      <w:r>
        <w:rPr>
          <w:color w:val="000000"/>
          <w:sz w:val="24"/>
          <w:szCs w:val="24"/>
        </w:rPr>
        <w:t xml:space="preserve">ausencia) </w:t>
      </w:r>
      <w:sdt>
        <w:sdtPr>
          <w:tag w:val="goog_rdk_6"/>
          <w:id w:val="-44455752"/>
        </w:sdtPr>
        <w:sdtContent>
          <w:commentRangeStart w:id="7"/>
        </w:sdtContent>
      </w:sdt>
      <w:r>
        <w:rPr>
          <w:color w:val="000000"/>
          <w:sz w:val="24"/>
          <w:szCs w:val="24"/>
        </w:rPr>
        <w:t>reflejaron que las barritas desarrolladas cumplen con los parámetros establecidos para este tipo de productos en las dos formulaciones desarrolladas.</w:t>
      </w:r>
      <w:commentRangeEnd w:id="7"/>
      <w:r>
        <w:commentReference w:id="7"/>
      </w:r>
      <w:r>
        <w:rPr>
          <w:color w:val="000000"/>
          <w:sz w:val="24"/>
          <w:szCs w:val="24"/>
        </w:rPr>
        <w:t xml:space="preserve"> </w:t>
      </w:r>
      <w:sdt>
        <w:sdtPr>
          <w:tag w:val="goog_rdk_7"/>
          <w:id w:val="353389422"/>
        </w:sdtPr>
        <w:sdtContent>
          <w:commentRangeStart w:id="8"/>
        </w:sdtContent>
      </w:sdt>
      <w:r>
        <w:rPr>
          <w:color w:val="000000"/>
          <w:sz w:val="24"/>
          <w:szCs w:val="24"/>
        </w:rPr>
        <w:t>Estos resultados demostraron que si bien el deshidratado solar presenta mayor cantidad de agentes externos que pueden influir en la calidad microbiológica del producto, si se aplican las normas sanitarias correspondientes, se logra mitigar este efecto negativo.</w:t>
      </w:r>
      <w:commentRangeEnd w:id="8"/>
      <w:r>
        <w:commentReference w:id="8"/>
      </w:r>
    </w:p>
    <w:p w14:paraId="00000012" w14:textId="77777777" w:rsidR="00593BCD" w:rsidRDefault="00593BCD">
      <w:pPr>
        <w:pBdr>
          <w:top w:val="nil"/>
          <w:left w:val="nil"/>
          <w:bottom w:val="nil"/>
          <w:right w:val="nil"/>
          <w:between w:val="nil"/>
        </w:pBdr>
        <w:spacing w:before="9"/>
        <w:rPr>
          <w:color w:val="000000"/>
          <w:sz w:val="23"/>
          <w:szCs w:val="23"/>
        </w:rPr>
      </w:pPr>
    </w:p>
    <w:p w14:paraId="00000018" w14:textId="41BFEE8B" w:rsidR="00593BCD" w:rsidRDefault="00000000" w:rsidP="002E2D07">
      <w:pPr>
        <w:pBdr>
          <w:top w:val="nil"/>
          <w:left w:val="nil"/>
          <w:bottom w:val="nil"/>
          <w:right w:val="nil"/>
          <w:between w:val="nil"/>
        </w:pBdr>
        <w:ind w:left="119"/>
        <w:jc w:val="both"/>
        <w:rPr>
          <w:color w:val="000000"/>
          <w:sz w:val="24"/>
          <w:szCs w:val="24"/>
        </w:rPr>
      </w:pPr>
      <w:r>
        <w:rPr>
          <w:color w:val="000000"/>
          <w:sz w:val="24"/>
          <w:szCs w:val="24"/>
        </w:rPr>
        <w:t>Palabras Clave: barras, frutas secas, inocuidad.</w:t>
      </w:r>
    </w:p>
    <w:sectPr w:rsidR="00593BCD">
      <w:pgSz w:w="11910" w:h="16850"/>
      <w:pgMar w:top="1380" w:right="1580" w:bottom="280" w:left="1580" w:header="362"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rolina DelBo" w:date="2022-08-01T18:36:00Z" w:initials="">
    <w:p w14:paraId="0000001E" w14:textId="77777777" w:rsidR="00593BCD"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Las iniciales de los nombres deben ir sin ninguna separación.</w:t>
      </w:r>
    </w:p>
  </w:comment>
  <w:comment w:id="1" w:author="Carolina DelBo" w:date="2022-08-01T17:28:00Z" w:initials="">
    <w:p w14:paraId="0000001D" w14:textId="77777777" w:rsidR="00593BCD"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A que institución corresponde la sigla INTA EEA</w:t>
      </w:r>
    </w:p>
  </w:comment>
  <w:comment w:id="3" w:author="Carolina DelBo" w:date="2022-08-02T17:22:00Z" w:initials="">
    <w:p w14:paraId="0000001A" w14:textId="77777777" w:rsidR="00593BCD"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Aporte de contenido poco claro respecto al planteo del trabajo. ¿Cómo influye el proceso de secado al sol sobre la calidad microbiana del producto</w:t>
      </w:r>
      <w:proofErr w:type="gramStart"/>
      <w:r>
        <w:rPr>
          <w:rFonts w:ascii="Arial" w:eastAsia="Arial" w:hAnsi="Arial" w:cs="Arial"/>
          <w:color w:val="000000"/>
        </w:rPr>
        <w:t>? .</w:t>
      </w:r>
      <w:proofErr w:type="gramEnd"/>
    </w:p>
  </w:comment>
  <w:comment w:id="4" w:author="Carolina DelBo" w:date="2022-08-01T17:32:00Z" w:initials="">
    <w:p w14:paraId="0000001F" w14:textId="77777777" w:rsidR="00593BCD"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No está correctamente definido el objetivo teniendo en cuenta el resultado y conclusión del trabajo. ¿Las frutas deshidratadas son secadas al </w:t>
      </w:r>
      <w:proofErr w:type="gramStart"/>
      <w:r>
        <w:rPr>
          <w:rFonts w:ascii="Arial" w:eastAsia="Arial" w:hAnsi="Arial" w:cs="Arial"/>
          <w:color w:val="000000"/>
        </w:rPr>
        <w:t>sol?.</w:t>
      </w:r>
      <w:proofErr w:type="gramEnd"/>
      <w:r>
        <w:rPr>
          <w:rFonts w:ascii="Arial" w:eastAsia="Arial" w:hAnsi="Arial" w:cs="Arial"/>
          <w:color w:val="000000"/>
        </w:rPr>
        <w:t xml:space="preserve"> ¿Se analizaron solo dos barritas?</w:t>
      </w:r>
    </w:p>
  </w:comment>
  <w:comment w:id="5" w:author="Carolina DelBo" w:date="2022-08-01T17:50:00Z" w:initials="">
    <w:p w14:paraId="0000001B" w14:textId="77777777" w:rsidR="00593BCD"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Falta especificar microorganismos</w:t>
      </w:r>
    </w:p>
  </w:comment>
  <w:comment w:id="6" w:author="Carolina DelBo" w:date="2022-08-01T17:47:00Z" w:initials="">
    <w:p w14:paraId="00000021" w14:textId="77777777" w:rsidR="00593BCD" w:rsidRDefault="00000000">
      <w:pPr>
        <w:pBdr>
          <w:top w:val="nil"/>
          <w:left w:val="nil"/>
          <w:bottom w:val="nil"/>
          <w:right w:val="nil"/>
          <w:between w:val="nil"/>
        </w:pBdr>
        <w:rPr>
          <w:rFonts w:ascii="Arial" w:eastAsia="Arial" w:hAnsi="Arial" w:cs="Arial"/>
          <w:color w:val="000000"/>
        </w:rPr>
      </w:pPr>
      <w:proofErr w:type="spellStart"/>
      <w:proofErr w:type="gramStart"/>
      <w:r>
        <w:rPr>
          <w:rFonts w:ascii="Arial" w:eastAsia="Arial" w:hAnsi="Arial" w:cs="Arial"/>
          <w:color w:val="000000"/>
        </w:rPr>
        <w:t>E.coli</w:t>
      </w:r>
      <w:proofErr w:type="spellEnd"/>
      <w:proofErr w:type="gramEnd"/>
    </w:p>
  </w:comment>
  <w:comment w:id="7" w:author="Carolina DelBo" w:date="2022-08-01T17:41:00Z" w:initials="">
    <w:p w14:paraId="00000020" w14:textId="77777777" w:rsidR="00593BCD"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En el resumen no se indican los "parámetros establecidos" con los que se contrastan los resultados de los ensayos.</w:t>
      </w:r>
    </w:p>
  </w:comment>
  <w:comment w:id="8" w:author="Carolina DelBo" w:date="2022-08-01T17:53:00Z" w:initials="">
    <w:p w14:paraId="0000001C" w14:textId="77777777" w:rsidR="00593BCD"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La conclusión no </w:t>
      </w:r>
      <w:proofErr w:type="spellStart"/>
      <w:r>
        <w:rPr>
          <w:rFonts w:ascii="Arial" w:eastAsia="Arial" w:hAnsi="Arial" w:cs="Arial"/>
          <w:color w:val="000000"/>
        </w:rPr>
        <w:t>esta</w:t>
      </w:r>
      <w:proofErr w:type="spellEnd"/>
      <w:r>
        <w:rPr>
          <w:rFonts w:ascii="Arial" w:eastAsia="Arial" w:hAnsi="Arial" w:cs="Arial"/>
          <w:color w:val="000000"/>
        </w:rPr>
        <w:t xml:space="preserve"> clara. ¿Cuáles son los agentes externos que pueden influir en el deshidratado </w:t>
      </w:r>
      <w:proofErr w:type="gramStart"/>
      <w:r>
        <w:rPr>
          <w:rFonts w:ascii="Arial" w:eastAsia="Arial" w:hAnsi="Arial" w:cs="Arial"/>
          <w:color w:val="000000"/>
        </w:rPr>
        <w:t>solar?.</w:t>
      </w:r>
      <w:proofErr w:type="gramEnd"/>
      <w:r>
        <w:rPr>
          <w:rFonts w:ascii="Arial" w:eastAsia="Arial" w:hAnsi="Arial" w:cs="Arial"/>
          <w:color w:val="000000"/>
        </w:rPr>
        <w:t xml:space="preserve"> ¿Qué normas sanitarias se aplicaron en el trabajo?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1E" w15:done="0"/>
  <w15:commentEx w15:paraId="0000001D" w15:done="0"/>
  <w15:commentEx w15:paraId="0000001A" w15:done="0"/>
  <w15:commentEx w15:paraId="0000001F" w15:done="0"/>
  <w15:commentEx w15:paraId="0000001B" w15:done="0"/>
  <w15:commentEx w15:paraId="00000021" w15:done="0"/>
  <w15:commentEx w15:paraId="00000020" w15:done="0"/>
  <w15:commentEx w15:paraId="000000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1E" w16cid:durableId="2697938B"/>
  <w16cid:commentId w16cid:paraId="0000001D" w16cid:durableId="2697938A"/>
  <w16cid:commentId w16cid:paraId="0000001A" w16cid:durableId="26979389"/>
  <w16cid:commentId w16cid:paraId="0000001F" w16cid:durableId="26979388"/>
  <w16cid:commentId w16cid:paraId="0000001B" w16cid:durableId="26979387"/>
  <w16cid:commentId w16cid:paraId="00000021" w16cid:durableId="26979386"/>
  <w16cid:commentId w16cid:paraId="00000020" w16cid:durableId="26979385"/>
  <w16cid:commentId w16cid:paraId="0000001C" w16cid:durableId="269793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7CA19" w14:textId="77777777" w:rsidR="007F06CC" w:rsidRDefault="007F06CC">
      <w:r>
        <w:separator/>
      </w:r>
    </w:p>
  </w:endnote>
  <w:endnote w:type="continuationSeparator" w:id="0">
    <w:p w14:paraId="050AEA98" w14:textId="77777777" w:rsidR="007F06CC" w:rsidRDefault="007F0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7B0AA" w14:textId="77777777" w:rsidR="007F06CC" w:rsidRDefault="007F06CC">
      <w:r>
        <w:separator/>
      </w:r>
    </w:p>
  </w:footnote>
  <w:footnote w:type="continuationSeparator" w:id="0">
    <w:p w14:paraId="2FECE6BD" w14:textId="77777777" w:rsidR="007F06CC" w:rsidRDefault="007F0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9" w14:textId="77777777" w:rsidR="00593BCD" w:rsidRDefault="00000000">
    <w:pPr>
      <w:pBdr>
        <w:top w:val="nil"/>
        <w:left w:val="nil"/>
        <w:bottom w:val="nil"/>
        <w:right w:val="nil"/>
        <w:between w:val="nil"/>
      </w:pBdr>
      <w:spacing w:line="14" w:lineRule="auto"/>
      <w:rPr>
        <w:color w:val="000000"/>
        <w:sz w:val="20"/>
        <w:szCs w:val="20"/>
      </w:rPr>
    </w:pPr>
    <w:r>
      <w:rPr>
        <w:noProof/>
        <w:color w:val="000000"/>
        <w:sz w:val="24"/>
        <w:szCs w:val="24"/>
      </w:rPr>
      <mc:AlternateContent>
        <mc:Choice Requires="wpg">
          <w:drawing>
            <wp:anchor distT="0" distB="0" distL="0" distR="0" simplePos="0" relativeHeight="251658240" behindDoc="1" locked="0" layoutInCell="1" hidden="0" allowOverlap="1" wp14:anchorId="3959AC11" wp14:editId="402AE829">
              <wp:simplePos x="0" y="0"/>
              <wp:positionH relativeFrom="page">
                <wp:posOffset>1061085</wp:posOffset>
              </wp:positionH>
              <wp:positionV relativeFrom="page">
                <wp:posOffset>229870</wp:posOffset>
              </wp:positionV>
              <wp:extent cx="5440045" cy="657225"/>
              <wp:effectExtent l="0" t="0" r="0" b="0"/>
              <wp:wrapNone/>
              <wp:docPr id="4" name="Grupo 4"/>
              <wp:cNvGraphicFramePr/>
              <a:graphic xmlns:a="http://schemas.openxmlformats.org/drawingml/2006/main">
                <a:graphicData uri="http://schemas.microsoft.com/office/word/2010/wordprocessingGroup">
                  <wpg:wgp>
                    <wpg:cNvGrpSpPr/>
                    <wpg:grpSpPr>
                      <a:xfrm>
                        <a:off x="0" y="0"/>
                        <a:ext cx="5440045" cy="657225"/>
                        <a:chOff x="2625343" y="3451388"/>
                        <a:chExt cx="5440045" cy="657225"/>
                      </a:xfrm>
                    </wpg:grpSpPr>
                    <wpg:grpSp>
                      <wpg:cNvPr id="1" name="Grupo 1"/>
                      <wpg:cNvGrpSpPr/>
                      <wpg:grpSpPr>
                        <a:xfrm>
                          <a:off x="2625343" y="3451388"/>
                          <a:ext cx="5440045" cy="657225"/>
                          <a:chOff x="1670" y="362"/>
                          <a:chExt cx="8567" cy="1035"/>
                        </a:xfrm>
                      </wpg:grpSpPr>
                      <wps:wsp>
                        <wps:cNvPr id="2" name="Rectángulo 2"/>
                        <wps:cNvSpPr/>
                        <wps:spPr>
                          <a:xfrm>
                            <a:off x="1671" y="362"/>
                            <a:ext cx="8550" cy="1025"/>
                          </a:xfrm>
                          <a:prstGeom prst="rect">
                            <a:avLst/>
                          </a:prstGeom>
                          <a:noFill/>
                          <a:ln>
                            <a:noFill/>
                          </a:ln>
                        </wps:spPr>
                        <wps:txbx>
                          <w:txbxContent>
                            <w:p w14:paraId="50730A0B" w14:textId="77777777" w:rsidR="00593BCD" w:rsidRDefault="00593BCD">
                              <w:pPr>
                                <w:textDirection w:val="btLr"/>
                              </w:pPr>
                            </w:p>
                          </w:txbxContent>
                        </wps:txbx>
                        <wps:bodyPr spcFirstLastPara="1" wrap="square" lIns="91425" tIns="91425" rIns="91425" bIns="91425" anchor="ctr" anchorCtr="0">
                          <a:noAutofit/>
                        </wps:bodyPr>
                      </wps:wsp>
                      <wps:wsp>
                        <wps:cNvPr id="3" name="Rectángulo 3"/>
                        <wps:cNvSpPr/>
                        <wps:spPr>
                          <a:xfrm>
                            <a:off x="1670" y="1024"/>
                            <a:ext cx="8567" cy="10"/>
                          </a:xfrm>
                          <a:prstGeom prst="rect">
                            <a:avLst/>
                          </a:prstGeom>
                          <a:solidFill>
                            <a:srgbClr val="000000"/>
                          </a:solidFill>
                          <a:ln>
                            <a:noFill/>
                          </a:ln>
                        </wps:spPr>
                        <wps:txbx>
                          <w:txbxContent>
                            <w:p w14:paraId="0F4A037A" w14:textId="77777777" w:rsidR="00593BCD" w:rsidRDefault="00593BCD">
                              <w:pPr>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1">
                            <a:alphaModFix/>
                          </a:blip>
                          <a:srcRect/>
                          <a:stretch/>
                        </pic:blipFill>
                        <pic:spPr>
                          <a:xfrm>
                            <a:off x="1711" y="362"/>
                            <a:ext cx="1064" cy="1035"/>
                          </a:xfrm>
                          <a:prstGeom prst="rect">
                            <a:avLst/>
                          </a:prstGeom>
                          <a:noFill/>
                          <a:ln>
                            <a:noFill/>
                          </a:ln>
                        </pic:spPr>
                      </pic:pic>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1061085</wp:posOffset>
              </wp:positionH>
              <wp:positionV relativeFrom="page">
                <wp:posOffset>229870</wp:posOffset>
              </wp:positionV>
              <wp:extent cx="5440045" cy="657225"/>
              <wp:effectExtent b="0" l="0" r="0" t="0"/>
              <wp:wrapNone/>
              <wp:docPr id="4"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5440045" cy="657225"/>
                      </a:xfrm>
                      <a:prstGeom prst="rect"/>
                      <a:ln/>
                    </pic:spPr>
                  </pic:pic>
                </a:graphicData>
              </a:graphic>
            </wp:anchor>
          </w:drawing>
        </mc:Fallback>
      </mc:AlternateContent>
    </w:r>
    <w:r>
      <w:rPr>
        <w:noProof/>
        <w:color w:val="000000"/>
        <w:sz w:val="24"/>
        <w:szCs w:val="24"/>
      </w:rPr>
      <mc:AlternateContent>
        <mc:Choice Requires="wpg">
          <w:drawing>
            <wp:anchor distT="0" distB="0" distL="0" distR="0" simplePos="0" relativeHeight="251659264" behindDoc="1" locked="0" layoutInCell="1" hidden="0" allowOverlap="1" wp14:anchorId="49193A85" wp14:editId="67E6E10C">
              <wp:simplePos x="0" y="0"/>
              <wp:positionH relativeFrom="page">
                <wp:posOffset>1982153</wp:posOffset>
              </wp:positionH>
              <wp:positionV relativeFrom="page">
                <wp:posOffset>491807</wp:posOffset>
              </wp:positionV>
              <wp:extent cx="4519930" cy="163195"/>
              <wp:effectExtent l="0" t="0" r="0" b="0"/>
              <wp:wrapNone/>
              <wp:docPr id="5" name="Rectángulo 5"/>
              <wp:cNvGraphicFramePr/>
              <a:graphic xmlns:a="http://schemas.openxmlformats.org/drawingml/2006/main">
                <a:graphicData uri="http://schemas.microsoft.com/office/word/2010/wordprocessingShape">
                  <wps:wsp>
                    <wps:cNvSpPr/>
                    <wps:spPr>
                      <a:xfrm>
                        <a:off x="3090798" y="3703165"/>
                        <a:ext cx="4510405" cy="153670"/>
                      </a:xfrm>
                      <a:prstGeom prst="rect">
                        <a:avLst/>
                      </a:prstGeom>
                      <a:noFill/>
                      <a:ln>
                        <a:noFill/>
                      </a:ln>
                    </wps:spPr>
                    <wps:txbx>
                      <w:txbxContent>
                        <w:p w14:paraId="621A1BE4" w14:textId="77777777" w:rsidR="00593BCD" w:rsidRDefault="00000000">
                          <w:pPr>
                            <w:spacing w:before="13"/>
                            <w:ind w:left="20" w:firstLine="20"/>
                            <w:textDirection w:val="btLr"/>
                          </w:pPr>
                          <w:r>
                            <w:rPr>
                              <w:rFonts w:ascii="Arial" w:eastAsia="Arial" w:hAnsi="Arial" w:cs="Arial"/>
                              <w:b/>
                              <w:i/>
                              <w:color w:val="000000"/>
                              <w:sz w:val="18"/>
                            </w:rPr>
                            <w:t>VIII Congreso Internacional de Ciencia y Tecnología de Alimentos (CICYTAC 2022)</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1982153</wp:posOffset>
              </wp:positionH>
              <wp:positionV relativeFrom="page">
                <wp:posOffset>491807</wp:posOffset>
              </wp:positionV>
              <wp:extent cx="4519930" cy="163195"/>
              <wp:effectExtent b="0" l="0" r="0" t="0"/>
              <wp:wrapNone/>
              <wp:docPr id="3" name="image1.png"/>
              <a:graphic>
                <a:graphicData uri="http://schemas.openxmlformats.org/drawingml/2006/picture">
                  <pic:pic>
                    <pic:nvPicPr>
                      <pic:cNvPr id="0" name="image1.png"/>
                      <pic:cNvPicPr preferRelativeResize="0"/>
                    </pic:nvPicPr>
                    <pic:blipFill>
                      <a:blip r:embed="rId3"/>
                      <a:srcRect/>
                      <a:stretch>
                        <a:fillRect/>
                      </a:stretch>
                    </pic:blipFill>
                    <pic:spPr>
                      <a:xfrm>
                        <a:off x="0" y="0"/>
                        <a:ext cx="4519930" cy="16319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C63DE"/>
    <w:multiLevelType w:val="multilevel"/>
    <w:tmpl w:val="10260848"/>
    <w:lvl w:ilvl="0">
      <w:start w:val="1"/>
      <w:numFmt w:val="decimal"/>
      <w:lvlText w:val="(%1)"/>
      <w:lvlJc w:val="left"/>
      <w:pPr>
        <w:ind w:left="122" w:hanging="360"/>
      </w:pPr>
      <w:rPr>
        <w:rFonts w:ascii="Arial MT" w:eastAsia="Arial MT" w:hAnsi="Arial MT" w:cs="Arial MT"/>
        <w:sz w:val="24"/>
        <w:szCs w:val="24"/>
      </w:rPr>
    </w:lvl>
    <w:lvl w:ilvl="1">
      <w:numFmt w:val="bullet"/>
      <w:lvlText w:val="•"/>
      <w:lvlJc w:val="left"/>
      <w:pPr>
        <w:ind w:left="982" w:hanging="360"/>
      </w:pPr>
    </w:lvl>
    <w:lvl w:ilvl="2">
      <w:numFmt w:val="bullet"/>
      <w:lvlText w:val="•"/>
      <w:lvlJc w:val="left"/>
      <w:pPr>
        <w:ind w:left="1845" w:hanging="360"/>
      </w:pPr>
    </w:lvl>
    <w:lvl w:ilvl="3">
      <w:numFmt w:val="bullet"/>
      <w:lvlText w:val="•"/>
      <w:lvlJc w:val="left"/>
      <w:pPr>
        <w:ind w:left="2707" w:hanging="360"/>
      </w:pPr>
    </w:lvl>
    <w:lvl w:ilvl="4">
      <w:numFmt w:val="bullet"/>
      <w:lvlText w:val="•"/>
      <w:lvlJc w:val="left"/>
      <w:pPr>
        <w:ind w:left="3570" w:hanging="360"/>
      </w:pPr>
    </w:lvl>
    <w:lvl w:ilvl="5">
      <w:numFmt w:val="bullet"/>
      <w:lvlText w:val="•"/>
      <w:lvlJc w:val="left"/>
      <w:pPr>
        <w:ind w:left="4433" w:hanging="360"/>
      </w:pPr>
    </w:lvl>
    <w:lvl w:ilvl="6">
      <w:numFmt w:val="bullet"/>
      <w:lvlText w:val="•"/>
      <w:lvlJc w:val="left"/>
      <w:pPr>
        <w:ind w:left="5295" w:hanging="360"/>
      </w:pPr>
    </w:lvl>
    <w:lvl w:ilvl="7">
      <w:numFmt w:val="bullet"/>
      <w:lvlText w:val="•"/>
      <w:lvlJc w:val="left"/>
      <w:pPr>
        <w:ind w:left="6158" w:hanging="360"/>
      </w:pPr>
    </w:lvl>
    <w:lvl w:ilvl="8">
      <w:numFmt w:val="bullet"/>
      <w:lvlText w:val="•"/>
      <w:lvlJc w:val="left"/>
      <w:pPr>
        <w:ind w:left="7021" w:hanging="360"/>
      </w:pPr>
    </w:lvl>
  </w:abstractNum>
  <w:num w:numId="1" w16cid:durableId="1782065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BCD"/>
    <w:rsid w:val="002E2D07"/>
    <w:rsid w:val="00593BCD"/>
    <w:rsid w:val="007C375C"/>
    <w:rsid w:val="007F06CC"/>
    <w:rsid w:val="00B5359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242AE"/>
  <w15:docId w15:val="{909CF3B2-9754-4071-9007-7A6060E46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MT" w:eastAsia="Arial MT" w:hAnsi="Arial MT" w:cs="Arial MT"/>
        <w:sz w:val="22"/>
        <w:szCs w:val="22"/>
        <w:lang w:val="es-ES" w:eastAsia="es-A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spacing w:before="25"/>
      <w:ind w:left="170" w:right="173"/>
      <w:jc w:val="center"/>
    </w:pPr>
    <w:rPr>
      <w:rFonts w:ascii="Arial" w:eastAsia="Arial" w:hAnsi="Arial" w:cs="Arial"/>
      <w:b/>
      <w:bCs/>
      <w:sz w:val="24"/>
      <w:szCs w:val="24"/>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19"/>
    </w:pPr>
    <w:rPr>
      <w:sz w:val="24"/>
      <w:szCs w:val="24"/>
    </w:rPr>
  </w:style>
  <w:style w:type="paragraph" w:styleId="Prrafodelista">
    <w:name w:val="List Paragraph"/>
    <w:basedOn w:val="Normal"/>
    <w:uiPriority w:val="34"/>
    <w:qFormat/>
    <w:pPr>
      <w:spacing w:before="120"/>
      <w:ind w:left="122" w:right="255" w:hanging="3"/>
    </w:pPr>
  </w:style>
  <w:style w:type="paragraph" w:customStyle="1" w:styleId="TableParagraph">
    <w:name w:val="Table Paragraph"/>
    <w:basedOn w:val="Normal"/>
    <w:uiPriority w:val="1"/>
    <w:qFormat/>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e.martin@inta.gob.ar" TargetMode="Externa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JolXVng0O1lBZLLsUn6Zy08FGw==">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576</Words>
  <Characters>3174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Abel López</cp:lastModifiedBy>
  <cp:revision>3</cp:revision>
  <dcterms:created xsi:type="dcterms:W3CDTF">2022-08-05T16:03:00Z</dcterms:created>
  <dcterms:modified xsi:type="dcterms:W3CDTF">2022-08-05T16:12:00Z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2022-06-13T00:00:00Z</vt:filetime>
  </property>
  <property fmtid="{D5CDD505-2E9C-101B-9397-08002B2CF9AE}" pid="3" name="Creator">
    <vt:lpwstr>Microsoft® Word 2016</vt:lpwstr>
  </property>
  <property fmtid="{D5CDD505-2E9C-101B-9397-08002B2CF9AE}" pid="4" name="LastSaved">
    <vt:filetime>2022-08-01T00:00:00Z</vt:filetime>
  </property>
</Properties>
</file>