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1B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antagonista de extractos de pétalos de rosas de diverso color sobre </w:t>
      </w:r>
      <w:r>
        <w:rPr>
          <w:b/>
          <w:i/>
          <w:color w:val="000000"/>
        </w:rPr>
        <w:t xml:space="preserve">Listeria innocua </w:t>
      </w:r>
    </w:p>
    <w:p w14:paraId="00000002" w14:textId="77777777" w:rsidR="00221B2A" w:rsidRDefault="00221B2A">
      <w:pPr>
        <w:spacing w:after="0" w:line="240" w:lineRule="auto"/>
        <w:ind w:left="0" w:hanging="2"/>
        <w:jc w:val="center"/>
      </w:pPr>
    </w:p>
    <w:p w14:paraId="00000003" w14:textId="77777777" w:rsidR="00221B2A" w:rsidRDefault="00000000">
      <w:pPr>
        <w:spacing w:after="0" w:line="240" w:lineRule="auto"/>
        <w:ind w:left="0" w:hanging="2"/>
        <w:jc w:val="center"/>
      </w:pPr>
      <w:proofErr w:type="spellStart"/>
      <w:r>
        <w:t>Baibuch</w:t>
      </w:r>
      <w:proofErr w:type="spellEnd"/>
      <w:r>
        <w:t xml:space="preserve"> SY (1,2,3), </w:t>
      </w:r>
      <w:proofErr w:type="spellStart"/>
      <w:r>
        <w:t>Schelegueda</w:t>
      </w:r>
      <w:proofErr w:type="spellEnd"/>
      <w:r>
        <w:t xml:space="preserve"> LI (1,3), </w:t>
      </w:r>
      <w:proofErr w:type="spellStart"/>
      <w:r>
        <w:t>Malec</w:t>
      </w:r>
      <w:proofErr w:type="spellEnd"/>
      <w:r>
        <w:t xml:space="preserve"> </w:t>
      </w:r>
      <w:proofErr w:type="gramStart"/>
      <w:r>
        <w:t>LS(</w:t>
      </w:r>
      <w:proofErr w:type="gramEnd"/>
      <w:r>
        <w:t>2), Campos CA (1,3)</w:t>
      </w:r>
    </w:p>
    <w:p w14:paraId="00000004" w14:textId="77777777" w:rsidR="00221B2A" w:rsidRDefault="00221B2A">
      <w:pPr>
        <w:ind w:left="0" w:hanging="2"/>
        <w:rPr>
          <w:i/>
        </w:rPr>
      </w:pPr>
    </w:p>
    <w:p w14:paraId="00000005" w14:textId="77777777" w:rsidR="00221B2A" w:rsidRDefault="00000000">
      <w:pPr>
        <w:spacing w:after="120" w:line="240" w:lineRule="auto"/>
        <w:ind w:left="0" w:hanging="2"/>
      </w:pPr>
      <w:r>
        <w:t>(1) Universidad de Buenos Aires, Facultad de Ciencias Exactas y Naturales, Departamento de Industrias. Buenos Aires, Argentina.</w:t>
      </w:r>
    </w:p>
    <w:p w14:paraId="00000006" w14:textId="77777777" w:rsidR="00221B2A" w:rsidRDefault="00000000">
      <w:pPr>
        <w:spacing w:after="120" w:line="240" w:lineRule="auto"/>
        <w:ind w:left="0" w:hanging="2"/>
      </w:pPr>
      <w:bookmarkStart w:id="0" w:name="_heading=h.gjdgxs" w:colFirst="0" w:colLast="0"/>
      <w:bookmarkEnd w:id="0"/>
      <w:r>
        <w:t>(2) Universidad de Buenos Aires, Facultad de Ciencias Exactas y Naturales, Departamento Química Orgánica. Buenos Aires, Argentina.</w:t>
      </w:r>
    </w:p>
    <w:p w14:paraId="00000007" w14:textId="77777777" w:rsidR="00221B2A" w:rsidRDefault="00000000">
      <w:pPr>
        <w:spacing w:line="240" w:lineRule="auto"/>
        <w:ind w:left="0" w:hanging="2"/>
      </w:pPr>
      <w:r>
        <w:t xml:space="preserve">(3) </w:t>
      </w:r>
      <w:sdt>
        <w:sdtPr>
          <w:tag w:val="goog_rdk_0"/>
          <w:id w:val="1981334296"/>
        </w:sdtPr>
        <w:sdtContent>
          <w:commentRangeStart w:id="1"/>
        </w:sdtContent>
      </w:sdt>
      <w:r>
        <w:t>CONICET</w:t>
      </w:r>
      <w:commentRangeEnd w:id="1"/>
      <w:r>
        <w:commentReference w:id="1"/>
      </w:r>
      <w:r>
        <w:t xml:space="preserve"> - Universidad de Buenos Aires, Instituto de Tecnología de Alimentos y Procesos Químicos (ITAPROQ). Buenos Aires, Argentina.</w:t>
      </w:r>
    </w:p>
    <w:p w14:paraId="00000008" w14:textId="77777777" w:rsidR="00221B2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carmen@di.fcen.uba.ar</w:t>
      </w:r>
      <w:r>
        <w:rPr>
          <w:color w:val="000000"/>
        </w:rPr>
        <w:tab/>
      </w:r>
    </w:p>
    <w:p w14:paraId="00000009" w14:textId="77777777" w:rsidR="00221B2A" w:rsidRDefault="00221B2A">
      <w:pPr>
        <w:spacing w:after="0" w:line="240" w:lineRule="auto"/>
        <w:ind w:left="0" w:hanging="2"/>
      </w:pPr>
    </w:p>
    <w:p w14:paraId="0000000A" w14:textId="77777777" w:rsidR="00221B2A" w:rsidRDefault="00000000">
      <w:pPr>
        <w:ind w:left="0" w:hanging="2"/>
      </w:pPr>
      <w:r>
        <w:t xml:space="preserve">Los pétalos de rosas representan una importante fuente de </w:t>
      </w:r>
      <w:sdt>
        <w:sdtPr>
          <w:tag w:val="goog_rdk_1"/>
          <w:id w:val="1292717125"/>
        </w:sdtPr>
        <w:sdtContent>
          <w:commentRangeStart w:id="2"/>
        </w:sdtContent>
      </w:sdt>
      <w:r>
        <w:t>compuestos fenólicos</w:t>
      </w:r>
      <w:commentRangeEnd w:id="2"/>
      <w:r>
        <w:commentReference w:id="2"/>
      </w:r>
      <w:r>
        <w:t xml:space="preserve">. Como consecuencia, resulta relevante evaluar la actividad antimicrobiana de sus extractos. El presente trabajo tuvo como objetivo determinar el efecto de dichos extractos sobre el crecimiento de </w:t>
      </w:r>
      <w:r>
        <w:rPr>
          <w:i/>
        </w:rPr>
        <w:t>Listeria innocua</w:t>
      </w:r>
      <w:r>
        <w:t xml:space="preserve">. Se trabajó con 3 cultivares: </w:t>
      </w:r>
      <w:proofErr w:type="spellStart"/>
      <w:r>
        <w:rPr>
          <w:i/>
        </w:rPr>
        <w:t>Europeana</w:t>
      </w:r>
      <w:proofErr w:type="spellEnd"/>
      <w:r>
        <w:t xml:space="preserve">, de coloración roja; </w:t>
      </w:r>
      <w:proofErr w:type="spellStart"/>
      <w:r>
        <w:rPr>
          <w:i/>
        </w:rPr>
        <w:t>Farándole</w:t>
      </w:r>
      <w:proofErr w:type="spellEnd"/>
      <w:r>
        <w:t xml:space="preserve">, de coloración naranja y </w:t>
      </w:r>
      <w:proofErr w:type="spellStart"/>
      <w:r>
        <w:rPr>
          <w:i/>
        </w:rPr>
        <w:t>Caprisse</w:t>
      </w:r>
      <w:proofErr w:type="spellEnd"/>
      <w:r>
        <w:t xml:space="preserve">, de color rosa. Los pétalos se deshidrataron en corriente de aire a </w:t>
      </w:r>
      <w:sdt>
        <w:sdtPr>
          <w:tag w:val="goog_rdk_2"/>
          <w:id w:val="-571745634"/>
        </w:sdtPr>
        <w:sdtContent>
          <w:commentRangeStart w:id="3"/>
        </w:sdtContent>
      </w:sdt>
      <w:r>
        <w:t>65ºCy</w:t>
      </w:r>
      <w:commentRangeEnd w:id="3"/>
      <w:r>
        <w:commentReference w:id="3"/>
      </w:r>
      <w:r>
        <w:t xml:space="preserve"> posteriormente se extrajeron con </w:t>
      </w:r>
      <w:proofErr w:type="spellStart"/>
      <w:proofErr w:type="gramStart"/>
      <w:r>
        <w:t>etanol:agua</w:t>
      </w:r>
      <w:proofErr w:type="spellEnd"/>
      <w:proofErr w:type="gramEnd"/>
      <w:r>
        <w:t xml:space="preserve"> (38:62) a 75ºC durante 30 minutos con asistencia de ultrasonido. Se evaporó el etanol de los extractos a temperatura ambiente en condiciones estériles hasta obtener el 60% del volumen inicial. En una primera instancia, para seleccionar el cultivar con mayor actividad, se pusieron en contacto 1,5 ml de cada extracto </w:t>
      </w:r>
      <w:sdt>
        <w:sdtPr>
          <w:tag w:val="goog_rdk_3"/>
          <w:id w:val="-1894269257"/>
        </w:sdtPr>
        <w:sdtContent>
          <w:commentRangeStart w:id="4"/>
        </w:sdtContent>
      </w:sdt>
      <w:r>
        <w:t xml:space="preserve">con3,5 </w:t>
      </w:r>
      <w:commentRangeEnd w:id="4"/>
      <w:r>
        <w:commentReference w:id="4"/>
      </w:r>
      <w:r>
        <w:t xml:space="preserve">ml de Caldo </w:t>
      </w:r>
      <w:proofErr w:type="spellStart"/>
      <w:r>
        <w:t>Tripticasa</w:t>
      </w:r>
      <w:proofErr w:type="spellEnd"/>
      <w:r>
        <w:t xml:space="preserve"> Soja (TSB), ajustándose el pH a 6,5. Todos los sistemas se inocularon con 10</w:t>
      </w:r>
      <w:r>
        <w:rPr>
          <w:vertAlign w:val="superscript"/>
        </w:rPr>
        <w:t>4</w:t>
      </w:r>
      <w:r>
        <w:t xml:space="preserve"> UFC/ml de </w:t>
      </w:r>
      <w:r>
        <w:rPr>
          <w:i/>
        </w:rPr>
        <w:t>L. innocua</w:t>
      </w:r>
      <w:r>
        <w:t xml:space="preserve"> y se incubaron a 30°C por 24 horas bajo agitación. Se determinó la población microbiana al inicio y al final </w:t>
      </w:r>
      <w:sdt>
        <w:sdtPr>
          <w:tag w:val="goog_rdk_4"/>
          <w:id w:val="967865712"/>
        </w:sdtPr>
        <w:sdtContent>
          <w:commentRangeStart w:id="5"/>
        </w:sdtContent>
      </w:sdt>
      <w:r>
        <w:t>del almacenamiento</w:t>
      </w:r>
      <w:commentRangeEnd w:id="5"/>
      <w:r>
        <w:commentReference w:id="5"/>
      </w:r>
      <w:r>
        <w:t xml:space="preserve"> empleando Agar para Recuento en Placa (APC). Si bien los recuentos de todos los sistemas fueron significativamente menores que los del sistema control (TSB sin extracto e inoculado), el extracto de </w:t>
      </w:r>
      <w:proofErr w:type="spellStart"/>
      <w:r>
        <w:rPr>
          <w:i/>
        </w:rPr>
        <w:t>Europeana</w:t>
      </w:r>
      <w:proofErr w:type="spellEnd"/>
      <w:r>
        <w:t xml:space="preserve"> presentó la mayor actividad inhibitoria, ya que disminuyó la población de </w:t>
      </w:r>
      <w:r>
        <w:rPr>
          <w:i/>
        </w:rPr>
        <w:t>L. innocua</w:t>
      </w:r>
      <w:r>
        <w:t xml:space="preserve"> inoculada hasta niveles menores a 4 UFC/ml. Este último extracto se seleccionó para posteriores ensayos, ya que además de presentar actividad antimicrobiana posee altos valores de actividad antioxidante de acuerdo a trabajos previos. En una segunda etapa, se evaluó el efecto </w:t>
      </w:r>
      <w:proofErr w:type="spellStart"/>
      <w:r>
        <w:t>antilisteria</w:t>
      </w:r>
      <w:proofErr w:type="spellEnd"/>
      <w:r>
        <w:t xml:space="preserve"> de distintas proporciones del extracto de </w:t>
      </w:r>
      <w:proofErr w:type="spellStart"/>
      <w:r>
        <w:rPr>
          <w:i/>
        </w:rPr>
        <w:t>Europeana</w:t>
      </w:r>
      <w:proofErr w:type="spellEnd"/>
      <w:r>
        <w:t xml:space="preserve"> a lo largo del tiempo. Los sistemas se formularon como se describió anteriormente, colocando cantidades crecientes de extracto (0,5; 0,75; 1,0 y 1,5 ml) y llevando a volumen final de 5,0 ml con agua destilada estéril. Todos ellos se incubaron a 30°C, durante 72 horas, bajo agitación. Las muestras se retiraron inicialmente y cada 24 horas y se determinó la población de </w:t>
      </w:r>
      <w:r>
        <w:rPr>
          <w:i/>
        </w:rPr>
        <w:t>L. innocua</w:t>
      </w:r>
      <w:r>
        <w:t xml:space="preserve"> realizando recuentos en APC y en agar </w:t>
      </w:r>
      <w:proofErr w:type="spellStart"/>
      <w:r>
        <w:t>Palcam</w:t>
      </w:r>
      <w:proofErr w:type="spellEnd"/>
      <w:r>
        <w:t>. Todas las determinaciones se realizaron por duplicado y los datos se analizaron mediante un ANOVA, seguido por el test de Tukey (</w:t>
      </w:r>
      <w:r>
        <w:rPr>
          <w:rFonts w:ascii="Cambria Math" w:eastAsia="Cambria Math" w:hAnsi="Cambria Math" w:cs="Cambria Math"/>
        </w:rPr>
        <w:t>α</w:t>
      </w:r>
      <w:r>
        <w:t xml:space="preserve">=0,05). La </w:t>
      </w:r>
      <w:r>
        <w:lastRenderedPageBreak/>
        <w:t xml:space="preserve">muestra con menor cantidad de extracto no presentó efecto antimicrobiano frente a </w:t>
      </w:r>
      <w:r>
        <w:rPr>
          <w:i/>
        </w:rPr>
        <w:t>L. innocua</w:t>
      </w:r>
      <w:r>
        <w:t xml:space="preserve">, mientras que la de mayor proporción inhibió el crecimiento completamente a partir de las </w:t>
      </w:r>
      <w:sdt>
        <w:sdtPr>
          <w:tag w:val="goog_rdk_5"/>
          <w:id w:val="-809323430"/>
        </w:sdtPr>
        <w:sdtContent>
          <w:commentRangeStart w:id="6"/>
        </w:sdtContent>
      </w:sdt>
      <w:r>
        <w:t>24hs</w:t>
      </w:r>
      <w:commentRangeEnd w:id="6"/>
      <w:r>
        <w:commentReference w:id="6"/>
      </w:r>
      <w:r>
        <w:t xml:space="preserve">, presentando un recuento menor a 4 UFC/ml, tanto en APC como en </w:t>
      </w:r>
      <w:proofErr w:type="spellStart"/>
      <w:r>
        <w:t>Palcam</w:t>
      </w:r>
      <w:proofErr w:type="spellEnd"/>
      <w:r>
        <w:t xml:space="preserve">. En los sistemas con cantidades intermedias de extracto se observó un aumento de la población de </w:t>
      </w:r>
      <w:r>
        <w:rPr>
          <w:i/>
        </w:rPr>
        <w:t xml:space="preserve">L. innocua </w:t>
      </w:r>
      <w:r>
        <w:t xml:space="preserve">a lo largo del tiempo, pero en menor medida que en el sistema control. Ninguno de los sistemas presentó efecto bactericida y tampoco exhibió flora nativa. Los resultados comentados sugieren que los extractos de pétalos de rosas poseen efecto inhibitorio sobre </w:t>
      </w:r>
      <w:r>
        <w:rPr>
          <w:i/>
        </w:rPr>
        <w:t>L. innocua</w:t>
      </w:r>
      <w:r>
        <w:t xml:space="preserve"> y que la magnitud de inhibición depende de la proporción de extracto utilizado en los sistemas, del tiempo de incubación y del cultivar.</w:t>
      </w:r>
    </w:p>
    <w:p w14:paraId="0000000B" w14:textId="77777777" w:rsidR="00221B2A" w:rsidRDefault="00000000">
      <w:pPr>
        <w:spacing w:after="0" w:line="240" w:lineRule="auto"/>
        <w:ind w:left="0" w:hanging="2"/>
      </w:pPr>
      <w:r>
        <w:t>Palabras Clave: actividad inhibitoria, sistemas modelo, antimicrobianos naturales, flores</w:t>
      </w:r>
    </w:p>
    <w:sectPr w:rsidR="00221B2A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arolina DelBo" w:date="2022-08-11T18:48:00Z" w:initials="">
    <w:p w14:paraId="0000000F" w14:textId="77777777" w:rsidR="00221B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¿A que corresponde la sigla?</w:t>
      </w:r>
    </w:p>
  </w:comment>
  <w:comment w:id="2" w:author="Carolina DelBo" w:date="2022-08-11T18:52:00Z" w:initials="">
    <w:p w14:paraId="00000012" w14:textId="77777777" w:rsidR="00221B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Ver introducción: ¿Los compuestos fenólicos tienen actividad </w:t>
      </w:r>
      <w:proofErr w:type="gramStart"/>
      <w:r>
        <w:rPr>
          <w:color w:val="000000"/>
          <w:sz w:val="22"/>
          <w:szCs w:val="22"/>
        </w:rPr>
        <w:t>antimicrobiana?.</w:t>
      </w:r>
      <w:proofErr w:type="gramEnd"/>
      <w:r>
        <w:rPr>
          <w:color w:val="000000"/>
          <w:sz w:val="22"/>
          <w:szCs w:val="22"/>
        </w:rPr>
        <w:t xml:space="preserve"> ¿Por qué se consideró utilizar Listeria innocua en el trabajo?</w:t>
      </w:r>
    </w:p>
  </w:comment>
  <w:comment w:id="3" w:author="Carolina DelBo" w:date="2022-08-11T19:06:00Z" w:initials="">
    <w:p w14:paraId="0000000E" w14:textId="77777777" w:rsidR="00221B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Dejar espacio</w:t>
      </w:r>
    </w:p>
  </w:comment>
  <w:comment w:id="4" w:author="Carolina DelBo" w:date="2022-08-11T19:07:00Z" w:initials="">
    <w:p w14:paraId="00000010" w14:textId="77777777" w:rsidR="00221B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Dejar espacio</w:t>
      </w:r>
    </w:p>
  </w:comment>
  <w:comment w:id="5" w:author="Carolina DelBo" w:date="2022-08-11T19:08:00Z" w:initials="">
    <w:p w14:paraId="00000011" w14:textId="77777777" w:rsidR="00221B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¿De la incubación?</w:t>
      </w:r>
    </w:p>
  </w:comment>
  <w:comment w:id="6" w:author="Carolina DelBo" w:date="2022-08-11T19:09:00Z" w:initials="">
    <w:p w14:paraId="0000000D" w14:textId="77777777" w:rsidR="00221B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Dejar espacio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0F" w15:done="0"/>
  <w15:commentEx w15:paraId="00000012" w15:done="0"/>
  <w15:commentEx w15:paraId="0000000E" w15:done="0"/>
  <w15:commentEx w15:paraId="00000010" w15:done="0"/>
  <w15:commentEx w15:paraId="00000011" w15:done="0"/>
  <w15:commentEx w15:paraId="000000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0F" w16cid:durableId="26A85A1A"/>
  <w16cid:commentId w16cid:paraId="00000012" w16cid:durableId="26A85A19"/>
  <w16cid:commentId w16cid:paraId="0000000E" w16cid:durableId="26A85A18"/>
  <w16cid:commentId w16cid:paraId="00000010" w16cid:durableId="26A85A17"/>
  <w16cid:commentId w16cid:paraId="00000011" w16cid:durableId="26A85A16"/>
  <w16cid:commentId w16cid:paraId="0000000D" w16cid:durableId="26A85A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4709" w14:textId="77777777" w:rsidR="001D5659" w:rsidRDefault="001D565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E98E4C" w14:textId="77777777" w:rsidR="001D5659" w:rsidRDefault="001D56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5293" w14:textId="77777777" w:rsidR="001D5659" w:rsidRDefault="001D56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F52359" w14:textId="77777777" w:rsidR="001D5659" w:rsidRDefault="001D56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221B2A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341C9B" wp14:editId="153A2C25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2A"/>
    <w:rsid w:val="001D5659"/>
    <w:rsid w:val="00221B2A"/>
    <w:rsid w:val="005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FBD7-651E-4615-875C-74CA63A4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D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C07D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C07D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C07D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C07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C07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C07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C07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C07D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C07D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C07D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C07D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C07D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767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A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A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A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A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A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B266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O9Kye0MO1l005qjm0Biamm0Yew==">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2022-08-18T09:27:00Z</dcterms:created>
  <dcterms:modified xsi:type="dcterms:W3CDTF">2022-08-18T09:27:00Z</dcterms:modified>
</cp:coreProperties>
</file>