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4F67" w14:textId="77777777" w:rsidR="00D95B08" w:rsidRDefault="00000000">
      <w:pPr>
        <w:pStyle w:val="Textoindependiente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738AD4">
          <v:group id="_x0000_s1051" style="width:425pt;height:51.75pt;mso-position-horizontal-relative:char;mso-position-vertical-relative:line" coordsize="8500,1035">
            <v:line id="_x0000_s1054" style="position:absolute" from="0,671" to="8500,671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6;width:1065;height:103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width:8500;height:1035" filled="f" stroked="f">
              <v:textbox inset="0,0,0,0">
                <w:txbxContent>
                  <w:p w14:paraId="27823564" w14:textId="77777777" w:rsidR="00D95B08" w:rsidRDefault="00D95B08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946FF7D" w14:textId="77777777" w:rsidR="00D95B08" w:rsidRDefault="00D95B08">
                    <w:pPr>
                      <w:spacing w:before="9"/>
                      <w:rPr>
                        <w:rFonts w:ascii="Times New Roman"/>
                        <w:sz w:val="17"/>
                      </w:rPr>
                    </w:pPr>
                  </w:p>
                  <w:p w14:paraId="43C44729" w14:textId="77777777" w:rsidR="00D95B08" w:rsidRDefault="00000000">
                    <w:pPr>
                      <w:ind w:left="1493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VIII Congreso Internacional de Ciencia y Tecnología de Alimentos (CICYTAC</w:t>
                    </w:r>
                    <w:r>
                      <w:rPr>
                        <w:b/>
                        <w:i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>2022)</w:t>
                    </w:r>
                  </w:p>
                </w:txbxContent>
              </v:textbox>
            </v:shape>
            <w10:anchorlock/>
          </v:group>
        </w:pict>
      </w:r>
    </w:p>
    <w:p w14:paraId="46D4D392" w14:textId="77777777" w:rsidR="00D95B08" w:rsidRDefault="00000000">
      <w:pPr>
        <w:pStyle w:val="Ttulo"/>
      </w:pPr>
      <w:r>
        <w:t>Sobrevida de probiótico comercial en embutido crudo curado, con</w:t>
      </w:r>
      <w:r>
        <w:rPr>
          <w:spacing w:val="-52"/>
        </w:rPr>
        <w:t xml:space="preserve"> </w:t>
      </w:r>
      <w:r>
        <w:t>y sin agregado de sustancia prebiótica.</w:t>
      </w:r>
    </w:p>
    <w:p w14:paraId="6DC567DF" w14:textId="77777777" w:rsidR="00D95B08" w:rsidRDefault="00D95B08">
      <w:pPr>
        <w:pStyle w:val="Textoindependiente"/>
        <w:spacing w:before="11"/>
        <w:ind w:left="0"/>
        <w:rPr>
          <w:sz w:val="23"/>
        </w:rPr>
      </w:pPr>
    </w:p>
    <w:p w14:paraId="492EBC10" w14:textId="77777777" w:rsidR="00D95B08" w:rsidRDefault="00000000">
      <w:pPr>
        <w:pStyle w:val="Textoindependiente"/>
        <w:ind w:left="224" w:right="225"/>
        <w:jc w:val="center"/>
      </w:pPr>
      <w:r>
        <w:t>Aleu G (1), Zogbi AP (1), Vico JP (1), Rosmini MR (2), Aguero NL (2) Pérez-</w:t>
      </w:r>
    </w:p>
    <w:p w14:paraId="20F19AF0" w14:textId="77777777" w:rsidR="00D95B08" w:rsidRDefault="00000000">
      <w:pPr>
        <w:pStyle w:val="Textoindependiente"/>
        <w:spacing w:before="138"/>
      </w:pPr>
      <w:r>
        <w:t>Álvarez JA (3)</w:t>
      </w:r>
    </w:p>
    <w:p w14:paraId="6FD1BCF4" w14:textId="77777777" w:rsidR="00D95B08" w:rsidRDefault="00D95B08">
      <w:pPr>
        <w:pStyle w:val="Textoindependiente"/>
        <w:spacing w:before="5"/>
        <w:ind w:left="0"/>
        <w:rPr>
          <w:sz w:val="29"/>
        </w:rPr>
      </w:pPr>
    </w:p>
    <w:p w14:paraId="5C4ADFB0" w14:textId="77777777" w:rsidR="00D95B08" w:rsidRDefault="00000000">
      <w:pPr>
        <w:pStyle w:val="Prrafodelista"/>
        <w:numPr>
          <w:ilvl w:val="0"/>
          <w:numId w:val="1"/>
        </w:numPr>
        <w:tabs>
          <w:tab w:val="left" w:pos="521"/>
          <w:tab w:val="left" w:pos="2994"/>
          <w:tab w:val="left" w:pos="3320"/>
          <w:tab w:val="left" w:pos="4834"/>
          <w:tab w:val="left" w:pos="5948"/>
          <w:tab w:val="left" w:pos="6447"/>
          <w:tab w:val="left" w:pos="7666"/>
        </w:tabs>
        <w:rPr>
          <w:sz w:val="24"/>
        </w:rPr>
      </w:pPr>
      <w:r>
        <w:rPr>
          <w:sz w:val="24"/>
        </w:rPr>
        <w:t>IRNASUS-CONICET</w:t>
      </w:r>
      <w:r>
        <w:rPr>
          <w:sz w:val="24"/>
        </w:rPr>
        <w:tab/>
        <w:t>-</w:t>
      </w:r>
      <w:r>
        <w:rPr>
          <w:sz w:val="24"/>
        </w:rPr>
        <w:tab/>
        <w:t>Universidad</w:t>
      </w:r>
      <w:r>
        <w:rPr>
          <w:sz w:val="24"/>
        </w:rPr>
        <w:tab/>
        <w:t>Católica</w:t>
      </w:r>
      <w:r>
        <w:rPr>
          <w:sz w:val="24"/>
        </w:rPr>
        <w:tab/>
        <w:t>de</w:t>
      </w:r>
      <w:r>
        <w:rPr>
          <w:sz w:val="24"/>
        </w:rPr>
        <w:tab/>
        <w:t>Córdoba,</w:t>
      </w:r>
      <w:r>
        <w:rPr>
          <w:sz w:val="24"/>
        </w:rPr>
        <w:tab/>
        <w:t>Córdoba,</w:t>
      </w:r>
    </w:p>
    <w:p w14:paraId="3F74574D" w14:textId="77777777" w:rsidR="00D95B08" w:rsidRDefault="00000000">
      <w:pPr>
        <w:pStyle w:val="Textoindependiente"/>
        <w:spacing w:before="138"/>
        <w:ind w:left="521"/>
      </w:pPr>
      <w:r>
        <w:t>Argentina</w:t>
      </w:r>
    </w:p>
    <w:p w14:paraId="6D46022E" w14:textId="77777777" w:rsidR="00D95B08" w:rsidRDefault="00000000">
      <w:pPr>
        <w:pStyle w:val="Prrafodelista"/>
        <w:numPr>
          <w:ilvl w:val="0"/>
          <w:numId w:val="1"/>
        </w:numPr>
        <w:tabs>
          <w:tab w:val="left" w:pos="521"/>
        </w:tabs>
        <w:spacing w:before="138"/>
        <w:rPr>
          <w:sz w:val="24"/>
        </w:rPr>
      </w:pPr>
      <w:r>
        <w:rPr>
          <w:sz w:val="24"/>
        </w:rPr>
        <w:t>Facultad  de  Ciencias  Agropecuarias  -  Universidad  Católica  de</w:t>
      </w:r>
      <w:r>
        <w:rPr>
          <w:spacing w:val="10"/>
          <w:sz w:val="24"/>
        </w:rPr>
        <w:t xml:space="preserve"> </w:t>
      </w:r>
      <w:r>
        <w:rPr>
          <w:sz w:val="24"/>
        </w:rPr>
        <w:t>Córdoba,</w:t>
      </w:r>
    </w:p>
    <w:p w14:paraId="31CE9D6A" w14:textId="77777777" w:rsidR="00D95B08" w:rsidRDefault="00000000">
      <w:pPr>
        <w:pStyle w:val="Textoindependiente"/>
        <w:ind w:left="521"/>
      </w:pPr>
      <w:r>
        <w:t>Córdoba, Argentina</w:t>
      </w:r>
    </w:p>
    <w:p w14:paraId="5E79CB57" w14:textId="77777777" w:rsidR="00D95B08" w:rsidRDefault="00000000">
      <w:pPr>
        <w:pStyle w:val="Prrafodelista"/>
        <w:numPr>
          <w:ilvl w:val="0"/>
          <w:numId w:val="1"/>
        </w:numPr>
        <w:tabs>
          <w:tab w:val="left" w:pos="521"/>
        </w:tabs>
        <w:spacing w:before="200"/>
        <w:ind w:right="158"/>
        <w:jc w:val="both"/>
        <w:rPr>
          <w:sz w:val="24"/>
        </w:rPr>
      </w:pPr>
      <w:r>
        <w:rPr>
          <w:sz w:val="24"/>
        </w:rPr>
        <w:t>IPOA, Centro de Investigación e Innovación Agroalimentaria y Agroambiental (CIAGRO) de la Universidad Miguel Hernández, Orihuela, Alicante, España.</w:t>
      </w:r>
    </w:p>
    <w:p w14:paraId="017AAEA9" w14:textId="77777777" w:rsidR="00D95B08" w:rsidRDefault="00000000">
      <w:pPr>
        <w:pStyle w:val="Textoindependiente"/>
        <w:spacing w:before="200" w:line="480" w:lineRule="auto"/>
        <w:ind w:right="4518"/>
        <w:jc w:val="both"/>
      </w:pPr>
      <w:r>
        <w:t xml:space="preserve">Dirección de e-mail: </w:t>
      </w:r>
      <w:hyperlink r:id="rId8">
        <w:r>
          <w:t>galeu@ucc.edu.ar</w:t>
        </w:r>
      </w:hyperlink>
      <w:r>
        <w:t xml:space="preserve"> RESUMEN</w:t>
      </w:r>
    </w:p>
    <w:p w14:paraId="5A8B4C01" w14:textId="02F16139" w:rsidR="00D95B08" w:rsidRDefault="00000000">
      <w:pPr>
        <w:pStyle w:val="Textoindependiente"/>
        <w:ind w:left="106"/>
      </w:pPr>
      <w:r>
        <w:rPr>
          <w:rFonts w:ascii="Times New Roman" w:hAnsi="Times New Roman"/>
          <w:spacing w:val="-6"/>
          <w:shd w:val="clear" w:color="auto" w:fill="FDF2BE"/>
        </w:rPr>
        <w:t xml:space="preserve"> </w:t>
      </w:r>
      <w:commentRangeStart w:id="0"/>
      <w:r>
        <w:rPr>
          <w:shd w:val="clear" w:color="auto" w:fill="FDF2BE"/>
        </w:rPr>
        <w:t xml:space="preserve">Una   nueva   </w:t>
      </w:r>
      <w:r w:rsidR="000851BB">
        <w:rPr>
          <w:shd w:val="clear" w:color="auto" w:fill="FDF2BE"/>
        </w:rPr>
        <w:t>tendencia en</w:t>
      </w:r>
      <w:r>
        <w:rPr>
          <w:shd w:val="clear" w:color="auto" w:fill="FDF2BE"/>
        </w:rPr>
        <w:t xml:space="preserve">  alimentos  funcionales  es  la  unión  en  un</w:t>
      </w:r>
      <w:r>
        <w:rPr>
          <w:spacing w:val="51"/>
          <w:shd w:val="clear" w:color="auto" w:fill="FDF2BE"/>
        </w:rPr>
        <w:t xml:space="preserve"> </w:t>
      </w:r>
      <w:r>
        <w:rPr>
          <w:shd w:val="clear" w:color="auto" w:fill="FDF2BE"/>
        </w:rPr>
        <w:t>mismo</w:t>
      </w:r>
    </w:p>
    <w:p w14:paraId="2CEFAE90" w14:textId="77777777" w:rsidR="00D95B08" w:rsidRDefault="00000000">
      <w:pPr>
        <w:pStyle w:val="Textoindependiente"/>
        <w:spacing w:after="4"/>
        <w:ind w:left="106"/>
      </w:pPr>
      <w:r>
        <w:pict w14:anchorId="72A1A6ED">
          <v:shape id="_x0000_s1050" style="position:absolute;left:0;text-align:left;margin-left:82.35pt;margin-top:13pt;width:430.55pt;height:16pt;z-index:15732736;mso-position-horizontal-relative:page" coordorigin="1647,260" coordsize="8611,320" path="m10203,260r-8502,l1665,315r-18,68l1647,456r18,68l1701,579r8502,l10239,524r18,-68l10257,383r-18,-68l10203,260xe" fillcolor="#fdf2be" stroked="f">
            <v:path arrowok="t"/>
            <w10:wrap anchorx="page"/>
          </v:shape>
        </w:pict>
      </w:r>
      <w:r>
        <w:rPr>
          <w:rFonts w:ascii="Times New Roman" w:hAnsi="Times New Roman"/>
          <w:spacing w:val="-6"/>
          <w:shd w:val="clear" w:color="auto" w:fill="FDF2BE"/>
        </w:rPr>
        <w:t xml:space="preserve"> </w:t>
      </w:r>
      <w:r>
        <w:rPr>
          <w:shd w:val="clear" w:color="auto" w:fill="FDF2BE"/>
        </w:rPr>
        <w:t>producto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del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potencial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de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un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probiótico,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junto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con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un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prebiótico específico para</w:t>
      </w:r>
    </w:p>
    <w:p w14:paraId="02089459" w14:textId="77777777" w:rsidR="00D95B08" w:rsidRDefault="00000000">
      <w:pPr>
        <w:pStyle w:val="Textoindependiente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617089A7">
          <v:shape id="_x0000_s1049" type="#_x0000_t202" style="width:430.55pt;height:1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8E8475D" w14:textId="77777777" w:rsidR="00D95B08" w:rsidRDefault="00000000">
                  <w:pPr>
                    <w:pStyle w:val="Textoindependiente"/>
                    <w:spacing w:line="272" w:lineRule="exact"/>
                    <w:ind w:left="54"/>
                  </w:pPr>
                  <w:r>
                    <w:t>dicha microbiota, ya sea para el beneficio a nivel del intestino del consumidor, o</w:t>
                  </w:r>
                </w:p>
              </w:txbxContent>
            </v:textbox>
            <w10:anchorlock/>
          </v:shape>
        </w:pict>
      </w:r>
    </w:p>
    <w:p w14:paraId="27DDF392" w14:textId="52CACAB8" w:rsidR="00D95B08" w:rsidRDefault="00000000" w:rsidP="000851BB">
      <w:pPr>
        <w:pStyle w:val="Textoindependiente"/>
        <w:spacing w:line="248" w:lineRule="exact"/>
        <w:ind w:left="106"/>
        <w:jc w:val="both"/>
      </w:pPr>
      <w:r>
        <w:pict w14:anchorId="355DB1B9">
          <v:group id="_x0000_s1045" style="position:absolute;left:0;text-align:left;margin-left:451.85pt;margin-top:-4.4pt;width:18.05pt;height:18.05pt;z-index:15730176;mso-position-horizontal-relative:page" coordorigin="9037,-88" coordsize="361,361">
            <v:shape id="_x0000_s1048" style="position:absolute;left:9043;top:-83;width:349;height:349" coordorigin="9043,-82" coordsize="349,349" path="m9383,-82r-11,l9052,-82r-9,8l9043,257r9,9l9383,266r8,-9l9391,-74r-8,-8xe" stroked="f">
              <v:fill opacity="39321f"/>
              <v:path arrowok="t"/>
            </v:shape>
            <v:shape id="_x0000_s1047" style="position:absolute;left:9043;top:-83;width:349;height:349" coordorigin="9043,-82" coordsize="349,349" o:spt="100" adj="0,,0" path="m9383,-82r-331,l9043,-74r,331l9052,266r331,l9391,257r,-51l9125,206r-1,-8l9132,189r4,-12l9138,164r,-12l9115,137r-18,-19l9086,97r-4,-24l9092,36,9121,5r43,-21l9217,-24r174,l9391,-74r-8,-8xm9209,170r-31,23l9146,205r-21,1l9391,206r,-36l9214,170r-5,xm9391,-24r-174,l9270,-16r43,21l9342,36r11,37l9342,111r-29,31l9270,162r-53,8l9391,170r,-194xe" fillcolor="#ffd100" stroked="f">
              <v:stroke joinstyle="round"/>
              <v:formulas/>
              <v:path arrowok="t" o:connecttype="segments"/>
            </v:shape>
            <v:shape id="_x0000_s1046" style="position:absolute;left:9043;top:-83;width:349;height:349" coordorigin="9043,-82" coordsize="349,349" o:spt="100" adj="0,,0" path="m9217,170r-3,l9212,170r-3,l9178,193r-32,12l9125,206r-1,-8l9132,189r4,-12l9138,164r,-12l9115,137r-18,-19l9086,97r-4,-24l9092,36,9121,5r43,-21l9217,-24r53,8l9313,5r29,31l9353,73r-11,38l9313,142r-43,20l9217,170m9372,-82r-310,l9052,-82r-9,8l9043,-63r,310l9043,257r9,9l9062,266r310,l9383,266r8,-9l9391,247r,-310l9391,-74r-8,-8l9372,-82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 w:hAnsi="Times New Roman"/>
          <w:spacing w:val="-6"/>
          <w:shd w:val="clear" w:color="auto" w:fill="FDF2BE"/>
        </w:rPr>
        <w:t xml:space="preserve"> </w:t>
      </w:r>
      <w:r>
        <w:rPr>
          <w:shd w:val="clear" w:color="auto" w:fill="FDF2BE"/>
        </w:rPr>
        <w:t>para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la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supervivencia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del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probiótico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durante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la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vida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útil</w:t>
      </w:r>
      <w:r>
        <w:rPr>
          <w:spacing w:val="30"/>
          <w:shd w:val="clear" w:color="auto" w:fill="FDF2BE"/>
        </w:rPr>
        <w:t xml:space="preserve"> </w:t>
      </w:r>
      <w:r>
        <w:rPr>
          <w:shd w:val="clear" w:color="auto" w:fill="FDF2BE"/>
        </w:rPr>
        <w:t>del</w:t>
      </w:r>
      <w:r>
        <w:rPr>
          <w:spacing w:val="15"/>
          <w:shd w:val="clear" w:color="auto" w:fill="FDF2BE"/>
        </w:rPr>
        <w:t xml:space="preserve"> </w:t>
      </w:r>
      <w:r>
        <w:rPr>
          <w:shd w:val="clear" w:color="auto" w:fill="FDF2BE"/>
        </w:rPr>
        <w:t>mismo.</w:t>
      </w:r>
      <w:commentRangeEnd w:id="0"/>
      <w:r w:rsidR="000851BB">
        <w:rPr>
          <w:rStyle w:val="Refdecomentario"/>
        </w:rPr>
        <w:commentReference w:id="0"/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objetivo</w:t>
      </w:r>
      <w:r w:rsidR="000851BB">
        <w:t xml:space="preserve"> </w:t>
      </w:r>
      <w:r>
        <w:pict w14:anchorId="6677C8D1">
          <v:shape id="_x0000_s1044" type="#_x0000_t202" style="position:absolute;left:0;text-align:left;margin-left:336.05pt;margin-top:150.95pt;width:102.15pt;height:16pt;z-index:-15790592;mso-position-horizontal-relative:page;mso-position-vertical-relative:text" fillcolor="#fdf2be" stroked="f">
            <v:textbox inset="0,0,0,0">
              <w:txbxContent>
                <w:p w14:paraId="352F6561" w14:textId="77777777" w:rsidR="00D95B08" w:rsidRDefault="00000000">
                  <w:pPr>
                    <w:pStyle w:val="Textoindependiente"/>
                    <w:spacing w:before="16"/>
                    <w:ind w:left="54"/>
                  </w:pPr>
                  <w:r>
                    <w:t>(Di Rienzo, 2018).</w:t>
                  </w:r>
                </w:p>
              </w:txbxContent>
            </v:textbox>
            <w10:wrap anchorx="page"/>
          </v:shape>
        </w:pict>
      </w:r>
      <w:r>
        <w:pict w14:anchorId="1C5FE620">
          <v:group id="_x0000_s1040" style="position:absolute;left:0;text-align:left;margin-left:198.45pt;margin-top:14.65pt;width:18.05pt;height:18.05pt;z-index:15731200;mso-position-horizontal-relative:page;mso-position-vertical-relative:text" coordorigin="3969,293" coordsize="361,361">
            <v:shape id="_x0000_s1043" style="position:absolute;left:3975;top:298;width:349;height:349" coordorigin="3975,298" coordsize="349,349" path="m4315,298r-11,l3984,298r-9,9l3975,638r9,9l4315,647r9,-9l4324,307r-9,-9xe" stroked="f">
              <v:fill opacity="39321f"/>
              <v:path arrowok="t"/>
            </v:shape>
            <v:shape id="_x0000_s1042" style="position:absolute;left:3975;top:298;width:349;height:349" coordorigin="3975,298" coordsize="349,349" o:spt="100" adj="0,,0" path="m4315,298r-331,l3975,307r,331l3984,647r331,l4324,638r,-51l4057,587r,-8l4064,569r4,-11l4070,545r,-13l4047,517r-18,-18l4018,477r-4,-23l4025,416r29,-30l4097,365r53,-8l4324,357r,-50l4315,298xm4141,550r-31,24l4079,586r-22,1l4324,587r,-36l4147,551r-6,-1xm4324,357r-174,l4202,365r43,21l4274,416r11,38l4274,492r-29,30l4202,543r-52,8l4324,551r,-194xe" fillcolor="#ffd100" stroked="f">
              <v:stroke joinstyle="round"/>
              <v:formulas/>
              <v:path arrowok="t" o:connecttype="segments"/>
            </v:shape>
            <v:shape id="_x0000_s1041" style="position:absolute;left:3975;top:298;width:349;height:349" coordorigin="3975,298" coordsize="349,349" o:spt="100" adj="0,,0" path="m4150,551r-3,l4144,551r-3,-1l4110,574r-31,12l4057,587r,-8l4064,569r4,-11l4070,545r,-13l4047,517r-18,-18l4018,477r-4,-23l4025,416r29,-30l4097,365r53,-8l4202,365r43,21l4274,416r11,38l4274,492r-29,30l4202,543r-52,8m4304,298r-309,l3984,298r-9,9l3975,318r,309l3975,638r9,9l3995,647r309,l4315,647r9,-9l4324,627r,-309l4324,307r-9,-9l4304,298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de este trabajo fue estudiar la viabilidad del probiótico </w:t>
      </w:r>
      <w:r>
        <w:rPr>
          <w:i/>
        </w:rPr>
        <w:t xml:space="preserve">Lactobacillus rhamnosus </w:t>
      </w:r>
      <w:r>
        <w:t xml:space="preserve">desde </w:t>
      </w:r>
      <w:commentRangeStart w:id="1"/>
      <w:r>
        <w:t>la elaboración</w:t>
      </w:r>
      <w:commentRangeEnd w:id="1"/>
      <w:r w:rsidR="005D4C51">
        <w:rPr>
          <w:rStyle w:val="Refdecomentario"/>
        </w:rPr>
        <w:commentReference w:id="1"/>
      </w:r>
      <w:r>
        <w:t xml:space="preserve"> hasta el fin de la vida útil en formulaciones con/sin inulina. La formulación fue preparada con carne porcina, vacuna y tocino (42:42:16), aditivos y especias comerciales. El proceso involucró: picado (12 mm); </w:t>
      </w:r>
      <w:r>
        <w:rPr>
          <w:spacing w:val="-3"/>
        </w:rPr>
        <w:t xml:space="preserve">adición </w:t>
      </w:r>
      <w:r>
        <w:t xml:space="preserve">de aditivos/especias; amasado/reposo; embutido en tripa natural (40mm); </w:t>
      </w:r>
      <w:r>
        <w:rPr>
          <w:spacing w:val="-4"/>
        </w:rPr>
        <w:t xml:space="preserve">atado </w:t>
      </w:r>
      <w:r>
        <w:t xml:space="preserve">(manual con hilo cada 250 mm) escurrido (6h/10°C); </w:t>
      </w:r>
      <w:commentRangeStart w:id="2"/>
      <w:r>
        <w:t>estufado</w:t>
      </w:r>
      <w:commentRangeEnd w:id="2"/>
      <w:r w:rsidR="000851BB">
        <w:rPr>
          <w:rStyle w:val="Refdecomentario"/>
        </w:rPr>
        <w:commentReference w:id="2"/>
      </w:r>
      <w:r>
        <w:t xml:space="preserve"> (48h/26-28°C/90%HR); secado/maduración (11d/18-20°C/80%HR). El producto incorporó cultivo </w:t>
      </w:r>
      <w:r>
        <w:rPr>
          <w:i/>
        </w:rPr>
        <w:t xml:space="preserve">starter </w:t>
      </w:r>
      <w:r>
        <w:t>comercial (F1-Hansen</w:t>
      </w:r>
      <w:r>
        <w:rPr>
          <w:vertAlign w:val="superscript"/>
        </w:rPr>
        <w:t>®</w:t>
      </w:r>
      <w:r>
        <w:t xml:space="preserve">) y cultivo probiótico comercial </w:t>
      </w:r>
      <w:r>
        <w:rPr>
          <w:i/>
        </w:rPr>
        <w:t>Lactobacillus rhamnosus-R0011</w:t>
      </w:r>
      <w:r>
        <w:rPr>
          <w:vertAlign w:val="superscript"/>
        </w:rPr>
        <w:t>®</w:t>
      </w:r>
      <w:r>
        <w:t xml:space="preserve"> (Lallemand</w:t>
      </w:r>
      <w:r>
        <w:rPr>
          <w:vertAlign w:val="superscript"/>
        </w:rPr>
        <w:t>®</w:t>
      </w:r>
      <w:r>
        <w:t xml:space="preserve"> Canadá). El factor problema </w:t>
      </w:r>
      <w:r>
        <w:rPr>
          <w:spacing w:val="-7"/>
        </w:rPr>
        <w:t xml:space="preserve">fue </w:t>
      </w:r>
      <w:r>
        <w:t>la incorporación de Inulina (In) estándar (DP: 23 100% HP Orafti-Group</w:t>
      </w:r>
      <w:r>
        <w:rPr>
          <w:vertAlign w:val="superscript"/>
        </w:rPr>
        <w:t>®</w:t>
      </w:r>
      <w:r>
        <w:t>, Bélgica),</w:t>
      </w:r>
      <w:r>
        <w:rPr>
          <w:spacing w:val="3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niveles:</w:t>
      </w:r>
      <w:r>
        <w:rPr>
          <w:spacing w:val="25"/>
        </w:rPr>
        <w:t xml:space="preserve"> </w:t>
      </w:r>
      <w:r>
        <w:t>In</w:t>
      </w:r>
      <w:r>
        <w:rPr>
          <w:vertAlign w:val="subscript"/>
        </w:rPr>
        <w:t>1,5%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In</w:t>
      </w:r>
      <w:r>
        <w:rPr>
          <w:vertAlign w:val="subscript"/>
        </w:rPr>
        <w:t>0,0%</w:t>
      </w:r>
      <w:r>
        <w:t>.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análisis</w:t>
      </w:r>
      <w:r>
        <w:rPr>
          <w:spacing w:val="25"/>
        </w:rPr>
        <w:t xml:space="preserve"> </w:t>
      </w:r>
      <w:r>
        <w:t>estadístico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utilizó</w:t>
      </w:r>
      <w:r>
        <w:rPr>
          <w:spacing w:val="26"/>
        </w:rPr>
        <w:t xml:space="preserve"> </w:t>
      </w:r>
      <w:r>
        <w:rPr>
          <w:spacing w:val="-10"/>
        </w:rPr>
        <w:t>el</w:t>
      </w:r>
    </w:p>
    <w:p w14:paraId="08D5E496" w14:textId="77777777" w:rsidR="00D95B08" w:rsidRDefault="00D95B08">
      <w:pPr>
        <w:jc w:val="both"/>
        <w:sectPr w:rsidR="00D95B08" w:rsidSect="00625D19">
          <w:headerReference w:type="default" r:id="rId13"/>
          <w:type w:val="continuous"/>
          <w:pgSz w:w="11920" w:h="16840"/>
          <w:pgMar w:top="1417" w:right="1701" w:bottom="1417" w:left="1701" w:header="0" w:footer="720" w:gutter="0"/>
          <w:pgNumType w:start="1"/>
          <w:cols w:space="720"/>
          <w:docGrid w:linePitch="299"/>
        </w:sectPr>
      </w:pPr>
    </w:p>
    <w:p w14:paraId="10AEF8FB" w14:textId="77777777" w:rsidR="00D95B08" w:rsidRDefault="00000000">
      <w:pPr>
        <w:pStyle w:val="Textoindependiente"/>
      </w:pPr>
      <w:r>
        <w:pict w14:anchorId="260C1831">
          <v:group id="_x0000_s1036" style="position:absolute;left:0;text-align:left;margin-left:421.6pt;margin-top:4.45pt;width:18.05pt;height:18.05pt;z-index:15732224;mso-position-horizontal-relative:page" coordorigin="8732,59" coordsize="361,361">
            <v:shape id="_x0000_s1039" style="position:absolute;left:8737;top:64;width:349;height:349" coordorigin="8738,65" coordsize="349,349" path="m9077,65r-10,l8747,65r-9,8l8738,404r9,9l9077,413r9,-9l9086,73r-9,-8xe" stroked="f">
              <v:fill opacity="39321f"/>
              <v:path arrowok="t"/>
            </v:shape>
            <v:shape id="_x0000_s1038" style="position:absolute;left:8737;top:64;width:349;height:349" coordorigin="8738,65" coordsize="349,349" o:spt="100" adj="0,,0" path="m9077,65r-330,l8738,73r,331l8747,413r330,l9086,404r,-51l8820,353r-1,-8l8827,336r4,-12l8833,311r,-12l8810,284r-18,-19l8781,244r-4,-24l8787,183r29,-31l8859,131r53,-7l9086,124r,-51l9077,65xm8904,317r-31,23l8841,352r-21,1l9086,353r,-36l8909,317r-5,xm9086,124r-174,l8965,131r43,21l9037,183r10,37l9037,258r-29,31l8965,309r-53,8l9086,317r,-193xe" fillcolor="#ffd100" stroked="f">
              <v:stroke joinstyle="round"/>
              <v:formulas/>
              <v:path arrowok="t" o:connecttype="segments"/>
            </v:shape>
            <v:shape id="_x0000_s1037" style="position:absolute;left:8737;top:64;width:349;height:349" coordorigin="8738,65" coordsize="349,349" o:spt="100" adj="0,,0" path="m8912,317r-3,l8906,317r-2,l8873,340r-32,12l8820,353r-1,-8l8827,336r4,-12l8833,311r,-12l8810,284r-18,-19l8781,244r-4,-24l8787,183r29,-31l8859,131r53,-7l8965,131r43,21l9037,183r10,37l9037,258r-29,31l8965,309r-53,8m9067,65r-310,l8747,65r-9,8l8738,84r,310l8738,404r9,9l8757,413r310,l9077,413r9,-9l9086,394r,-310l9086,73r-9,-8l9067,65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programa </w:t>
      </w:r>
      <w:r>
        <w:rPr>
          <w:spacing w:val="-5"/>
        </w:rPr>
        <w:t xml:space="preserve">INFOSTAT </w:t>
      </w:r>
      <w:r>
        <w:t xml:space="preserve">Versión Profesional </w:t>
      </w:r>
      <w:r>
        <w:rPr>
          <w:spacing w:val="-10"/>
        </w:rPr>
        <w:t xml:space="preserve">2011 </w:t>
      </w:r>
      <w:r>
        <w:t xml:space="preserve">determinaciones microbiológicas </w:t>
      </w:r>
      <w:commentRangeStart w:id="3"/>
      <w:r>
        <w:t>al inicio de</w:t>
      </w:r>
      <w:commentRangeEnd w:id="3"/>
      <w:r w:rsidR="005D4C51">
        <w:rPr>
          <w:rStyle w:val="Refdecomentario"/>
        </w:rPr>
        <w:commentReference w:id="3"/>
      </w:r>
    </w:p>
    <w:p w14:paraId="23926849" w14:textId="77777777" w:rsidR="00D95B08" w:rsidRDefault="00000000">
      <w:pPr>
        <w:pStyle w:val="Textoindependiente"/>
        <w:ind w:left="76" w:right="150" w:firstLine="1950"/>
      </w:pPr>
      <w:r>
        <w:br w:type="column"/>
      </w:r>
      <w:r>
        <w:lastRenderedPageBreak/>
        <w:t>Se realizaron la prueba (D0), al finalizar la</w:t>
      </w:r>
    </w:p>
    <w:p w14:paraId="3813B3CD" w14:textId="0F781902" w:rsidR="00625D19" w:rsidRDefault="00000000" w:rsidP="00625D19">
      <w:pPr>
        <w:pStyle w:val="Textoindependiente"/>
        <w:ind w:right="154"/>
        <w:jc w:val="both"/>
        <w:rPr>
          <w:spacing w:val="-8"/>
        </w:rPr>
      </w:pPr>
      <w:r>
        <w:pict w14:anchorId="3908DCFA">
          <v:group id="_x0000_s1033" style="position:absolute;left:0;text-align:left;margin-left:518.6pt;margin-top:217.85pt;width:18.05pt;height:18.05pt;z-index:15730688;mso-position-horizontal-relative:page;mso-position-vertical-relative:page" coordorigin="10672,7657" coordsize="361,361">
            <v:shape id="_x0000_s1035" style="position:absolute;left:10677;top:7662;width:349;height:349" coordorigin="10678,7663" coordsize="349,349" o:spt="100" adj="0,,0" path="m11017,7663r-331,l10678,7671r,331l10686,8011r331,l11026,8002r,-50l10759,7952r,-8l10766,7934r5,-12l10773,7909r,-12l10749,7882r-17,-19l10720,7842r-4,-24l10727,7781r29,-31l10799,7729r53,-7l11026,7722r,-51l11017,7663xm10843,7915r-30,23l10781,7950r-22,2l11026,7952r,-37l10849,7915r-6,xm11026,7722r-174,l10904,7729r43,21l10976,7781r11,37l10976,7856r-29,31l10904,7908r-52,7l11026,7915r,-193xe" fillcolor="#ffd100" stroked="f">
              <v:stroke joinstyle="round"/>
              <v:formulas/>
              <v:path arrowok="t" o:connecttype="segments"/>
            </v:shape>
            <v:shape id="_x0000_s1034" style="position:absolute;left:10677;top:7662;width:349;height:349" coordorigin="10678,7663" coordsize="349,349" o:spt="100" adj="0,,0" path="m10852,7915r-3,l10846,7915r-3,l10813,7938r-32,12l10759,7952r,-8l10766,7934r5,-12l10773,7909r,-12l10749,7882r-17,-19l10720,7842r-4,-24l10727,7781r29,-31l10799,7729r53,-7l10904,7729r43,21l10976,7781r11,37l10976,7856r-29,31l10904,7908r-52,7m11006,7663r-309,l10686,7663r-8,8l10678,7682r,310l10678,8002r8,9l10697,8011r309,l11017,8011r9,-9l11026,7992r,-310l11026,7671r-9,-8l11006,7663xe" filled="f" strokeweight=".59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 xml:space="preserve">maduración </w:t>
      </w:r>
      <w:r>
        <w:rPr>
          <w:spacing w:val="-4"/>
        </w:rPr>
        <w:t xml:space="preserve">(D11) </w:t>
      </w:r>
      <w:r>
        <w:t xml:space="preserve">y al fin de la vida útil del producto (D58), utilizando </w:t>
      </w:r>
      <w:r>
        <w:rPr>
          <w:spacing w:val="-4"/>
        </w:rPr>
        <w:t xml:space="preserve">los </w:t>
      </w:r>
      <w:r>
        <w:t xml:space="preserve">medios Manitol Salado Agar (MSA) para recuento de </w:t>
      </w:r>
      <w:r>
        <w:rPr>
          <w:i/>
        </w:rPr>
        <w:t>Micrococcus</w:t>
      </w:r>
      <w:r>
        <w:t xml:space="preserve">, agar </w:t>
      </w:r>
      <w:r>
        <w:rPr>
          <w:spacing w:val="-7"/>
        </w:rPr>
        <w:t xml:space="preserve">de </w:t>
      </w:r>
      <w:r>
        <w:t xml:space="preserve">Man, Rogosa y Sharpe (MRS) para bacterias acidolácticas y agar </w:t>
      </w:r>
      <w:r>
        <w:rPr>
          <w:spacing w:val="-5"/>
        </w:rPr>
        <w:t xml:space="preserve">LAMVAB, </w:t>
      </w:r>
      <w:r>
        <w:t xml:space="preserve">como medio selectivo para </w:t>
      </w:r>
      <w:r>
        <w:rPr>
          <w:i/>
        </w:rPr>
        <w:t>L. rhamnosus</w:t>
      </w:r>
      <w:r>
        <w:t>. Los valores para el MSA</w:t>
      </w:r>
      <w:r>
        <w:rPr>
          <w:vertAlign w:val="subscript"/>
        </w:rPr>
        <w:t>D0</w:t>
      </w:r>
      <w:r>
        <w:t xml:space="preserve"> para </w:t>
      </w:r>
      <w:r>
        <w:rPr>
          <w:spacing w:val="-8"/>
        </w:rPr>
        <w:t xml:space="preserve">el </w:t>
      </w:r>
      <w:r>
        <w:t>pastón como situación inicial fue de 4,45 Log</w:t>
      </w:r>
      <w:r>
        <w:rPr>
          <w:vertAlign w:val="subscript"/>
        </w:rPr>
        <w:t>10</w:t>
      </w:r>
      <w:r>
        <w:t xml:space="preserve">UFC/g, para incrementarse a valores de 6-8 Log, para luego disminuir hacia el fin de la vida útil por </w:t>
      </w:r>
      <w:r>
        <w:rPr>
          <w:spacing w:val="-6"/>
        </w:rPr>
        <w:t xml:space="preserve">la </w:t>
      </w:r>
      <w:r>
        <w:t>acidificación y la disminución del contenido de oxígeno, no siendo afectados por el factor In. Los valores de MRS</w:t>
      </w:r>
      <w:r>
        <w:rPr>
          <w:vertAlign w:val="subscript"/>
        </w:rPr>
        <w:t>D0</w:t>
      </w:r>
      <w:r>
        <w:t xml:space="preserve"> aumentan en la maduración </w:t>
      </w:r>
      <w:r>
        <w:rPr>
          <w:spacing w:val="-4"/>
        </w:rPr>
        <w:t>(MRS</w:t>
      </w:r>
      <w:r>
        <w:rPr>
          <w:spacing w:val="-4"/>
          <w:vertAlign w:val="subscript"/>
        </w:rPr>
        <w:t>D11</w:t>
      </w:r>
      <w:r>
        <w:rPr>
          <w:spacing w:val="-4"/>
        </w:rPr>
        <w:t>),</w:t>
      </w:r>
      <w:r>
        <w:rPr>
          <w:spacing w:val="58"/>
        </w:rPr>
        <w:t xml:space="preserve"> </w:t>
      </w:r>
      <w:r>
        <w:t>para luego disminuir hacia el fin de la vida útil (MRS</w:t>
      </w:r>
      <w:r>
        <w:rPr>
          <w:vertAlign w:val="subscript"/>
        </w:rPr>
        <w:t>D58</w:t>
      </w:r>
      <w:r>
        <w:t xml:space="preserve">), los valores </w:t>
      </w:r>
      <w:r>
        <w:rPr>
          <w:spacing w:val="-9"/>
        </w:rPr>
        <w:t>se</w:t>
      </w:r>
      <w:r>
        <w:rPr>
          <w:spacing w:val="48"/>
        </w:rPr>
        <w:t xml:space="preserve"> </w:t>
      </w:r>
      <w:r>
        <w:t>encontraron en general en un rango de 7 a 8 Log</w:t>
      </w:r>
      <w:r>
        <w:rPr>
          <w:vertAlign w:val="subscript"/>
        </w:rPr>
        <w:t>10</w:t>
      </w:r>
      <w:r>
        <w:t>UFC/g, no encontrando diferencias significativas para In</w:t>
      </w:r>
      <w:r>
        <w:rPr>
          <w:vertAlign w:val="subscript"/>
        </w:rPr>
        <w:t>0,0%</w:t>
      </w:r>
      <w:r>
        <w:t xml:space="preserve"> e In</w:t>
      </w:r>
      <w:r>
        <w:rPr>
          <w:vertAlign w:val="subscript"/>
        </w:rPr>
        <w:t>1,5%</w:t>
      </w:r>
      <w:r>
        <w:t xml:space="preserve">. En </w:t>
      </w:r>
      <w:r>
        <w:rPr>
          <w:spacing w:val="-3"/>
        </w:rPr>
        <w:t>LAMVAB</w:t>
      </w:r>
      <w:r>
        <w:rPr>
          <w:spacing w:val="-3"/>
          <w:vertAlign w:val="subscript"/>
        </w:rPr>
        <w:t>D0</w:t>
      </w:r>
      <w:r>
        <w:rPr>
          <w:spacing w:val="-3"/>
        </w:rPr>
        <w:t xml:space="preserve"> </w:t>
      </w:r>
      <w:r>
        <w:t xml:space="preserve">se observó </w:t>
      </w:r>
      <w:r>
        <w:rPr>
          <w:spacing w:val="-4"/>
        </w:rPr>
        <w:t>valores</w:t>
      </w:r>
      <w:r>
        <w:rPr>
          <w:spacing w:val="58"/>
        </w:rPr>
        <w:t xml:space="preserve"> </w:t>
      </w:r>
      <w:r>
        <w:t>de</w:t>
      </w:r>
      <w:r>
        <w:rPr>
          <w:rFonts w:ascii="Times New Roman" w:hAnsi="Times New Roman"/>
          <w:shd w:val="clear" w:color="auto" w:fill="FDF2BE"/>
        </w:rPr>
        <w:t xml:space="preserve"> </w:t>
      </w:r>
      <w:commentRangeStart w:id="4"/>
      <w:r>
        <w:rPr>
          <w:shd w:val="clear" w:color="auto" w:fill="FDF2BE"/>
        </w:rPr>
        <w:t>de</w:t>
      </w:r>
      <w:commentRangeEnd w:id="4"/>
      <w:r w:rsidR="005D4C51">
        <w:rPr>
          <w:rStyle w:val="Refdecomentario"/>
        </w:rPr>
        <w:commentReference w:id="4"/>
      </w:r>
      <w:r>
        <w:t xml:space="preserve"> 5 Log</w:t>
      </w:r>
      <w:r>
        <w:rPr>
          <w:vertAlign w:val="subscript"/>
        </w:rPr>
        <w:t>10</w:t>
      </w:r>
      <w:r>
        <w:t xml:space="preserve">UFC/g, presentando en todos los tratamientos un aumento hacia el </w:t>
      </w:r>
      <w:r>
        <w:rPr>
          <w:spacing w:val="-5"/>
        </w:rPr>
        <w:t xml:space="preserve">D11. </w:t>
      </w:r>
      <w:commentRangeStart w:id="5"/>
      <w:r>
        <w:t>Este aumento fue significativo en los tratamientos que conjugaron</w:t>
      </w:r>
      <w:r>
        <w:rPr>
          <w:spacing w:val="-21"/>
        </w:rPr>
        <w:t xml:space="preserve"> </w:t>
      </w:r>
      <w:r>
        <w:rPr>
          <w:spacing w:val="-8"/>
        </w:rPr>
        <w:t>el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 xml:space="preserve">agregado de probiótico y fibra. Sin </w:t>
      </w:r>
      <w:r w:rsidR="00625D19" w:rsidRPr="00625D19">
        <w:rPr>
          <w:spacing w:val="-8"/>
        </w:rPr>
        <w:t>embargo,</w:t>
      </w:r>
      <w:r w:rsidR="00625D19" w:rsidRPr="00625D19">
        <w:rPr>
          <w:spacing w:val="-8"/>
        </w:rPr>
        <w:t xml:space="preserve"> se puede observar que el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tratamiento In0,0% logró el mayor valor para LAMVABD11 al no tener competencia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por el sustrato, no obstante para LAMVABD58, al no tener el agregado de inulina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dicho valor disminuyó significativamente en comparación con los tratamientos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con fibra, mientras que se mantuvo estable en los tratamientos con inulina. En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el recuento para LAMVABD58 se puede observar que la diferencia está dada por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el agregado de inulina, justificando su uso como prebiótico, a fin de mantener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 xml:space="preserve">viable a los cultivos probióticos. </w:t>
      </w:r>
      <w:commentRangeEnd w:id="5"/>
      <w:r w:rsidR="004B618C">
        <w:rPr>
          <w:rStyle w:val="Refdecomentario"/>
        </w:rPr>
        <w:commentReference w:id="5"/>
      </w:r>
      <w:r w:rsidR="00625D19" w:rsidRPr="00625D19">
        <w:rPr>
          <w:spacing w:val="-8"/>
        </w:rPr>
        <w:t>Por lo anterior se concluye que, en este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trabajo, el agregado de fibra prebiótica garantizó la viabilidad del cultivo</w:t>
      </w:r>
      <w:r w:rsidR="00625D19">
        <w:rPr>
          <w:spacing w:val="-8"/>
        </w:rPr>
        <w:t xml:space="preserve"> </w:t>
      </w:r>
      <w:r w:rsidR="00625D19" w:rsidRPr="00625D19">
        <w:rPr>
          <w:spacing w:val="-8"/>
        </w:rPr>
        <w:t>probiótico comercial durante todo el proceso, hasta el fin de la vida útil.</w:t>
      </w:r>
    </w:p>
    <w:p w14:paraId="5FEF276A" w14:textId="77777777" w:rsidR="00625D19" w:rsidRPr="00625D19" w:rsidRDefault="00625D19" w:rsidP="00625D19">
      <w:pPr>
        <w:pStyle w:val="Textoindependiente"/>
        <w:ind w:right="154"/>
        <w:jc w:val="both"/>
        <w:rPr>
          <w:spacing w:val="-8"/>
        </w:rPr>
      </w:pPr>
    </w:p>
    <w:p w14:paraId="113A439C" w14:textId="3B5D08F6" w:rsidR="00625D19" w:rsidRDefault="00625D19" w:rsidP="00625D19">
      <w:pPr>
        <w:pStyle w:val="Textoindependiente"/>
        <w:ind w:right="154"/>
        <w:jc w:val="both"/>
        <w:rPr>
          <w:spacing w:val="-8"/>
        </w:rPr>
      </w:pPr>
      <w:r w:rsidRPr="00625D19">
        <w:rPr>
          <w:spacing w:val="-8"/>
        </w:rPr>
        <w:t xml:space="preserve">Agradecimiento: A la Red CYTED HEALTHY MEAT (119RT0568) </w:t>
      </w:r>
      <w:r w:rsidR="004B618C">
        <w:rPr>
          <w:spacing w:val="-8"/>
        </w:rPr>
        <w:t>–</w:t>
      </w:r>
      <w:r w:rsidRPr="00625D19">
        <w:rPr>
          <w:spacing w:val="-8"/>
        </w:rPr>
        <w:t xml:space="preserve"> Red</w:t>
      </w:r>
      <w:r w:rsidR="004B618C">
        <w:rPr>
          <w:spacing w:val="-8"/>
        </w:rPr>
        <w:t xml:space="preserve"> </w:t>
      </w:r>
      <w:r w:rsidRPr="00625D19">
        <w:rPr>
          <w:spacing w:val="-8"/>
        </w:rPr>
        <w:t>Iberoamericana Productos Cárnicos Más saludables.</w:t>
      </w:r>
    </w:p>
    <w:p w14:paraId="38CB9BE9" w14:textId="77777777" w:rsidR="00625D19" w:rsidRPr="00625D19" w:rsidRDefault="00625D19" w:rsidP="00625D19">
      <w:pPr>
        <w:pStyle w:val="Textoindependiente"/>
        <w:ind w:right="154"/>
        <w:jc w:val="both"/>
        <w:rPr>
          <w:spacing w:val="-8"/>
        </w:rPr>
      </w:pPr>
    </w:p>
    <w:p w14:paraId="16C46D1D" w14:textId="03406695" w:rsidR="00D95B08" w:rsidRDefault="00625D19" w:rsidP="00625D19">
      <w:pPr>
        <w:pStyle w:val="Textoindependiente"/>
        <w:ind w:right="154"/>
        <w:jc w:val="both"/>
      </w:pPr>
      <w:r w:rsidRPr="00625D19">
        <w:rPr>
          <w:spacing w:val="-8"/>
        </w:rPr>
        <w:t xml:space="preserve">Palabras Claves: salame, vida útil, inulina, </w:t>
      </w:r>
      <w:r w:rsidRPr="004B618C">
        <w:rPr>
          <w:i/>
          <w:iCs/>
          <w:spacing w:val="-8"/>
        </w:rPr>
        <w:t>L. rhamnosus</w:t>
      </w:r>
      <w:r w:rsidRPr="00625D19">
        <w:rPr>
          <w:spacing w:val="-8"/>
        </w:rPr>
        <w:t>, simbiótico.</w:t>
      </w:r>
    </w:p>
    <w:sectPr w:rsidR="00D95B08">
      <w:type w:val="continuous"/>
      <w:pgSz w:w="11920" w:h="16840"/>
      <w:pgMar w:top="360" w:right="1560" w:bottom="0" w:left="15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8T16:32:00Z" w:initials="AL">
    <w:p w14:paraId="51D1F890" w14:textId="77777777" w:rsidR="000851BB" w:rsidRDefault="000851BB" w:rsidP="000851BB">
      <w:pPr>
        <w:pStyle w:val="Textocomentario"/>
      </w:pPr>
      <w:r>
        <w:rPr>
          <w:rStyle w:val="Refdecomentario"/>
        </w:rPr>
        <w:annotationRef/>
      </w:r>
      <w:r>
        <w:t xml:space="preserve">Nota del revisor: </w:t>
      </w:r>
      <w:r>
        <w:t>Verificar redacción.</w:t>
      </w:r>
    </w:p>
    <w:p w14:paraId="012B67DB" w14:textId="7F398F97" w:rsidR="000851BB" w:rsidRDefault="000851BB" w:rsidP="000851BB">
      <w:pPr>
        <w:pStyle w:val="Textocomentario"/>
      </w:pPr>
      <w:r>
        <w:t>Sugerencia: Una nueva tendencia en alimentos funcionales es la unión, en un mismo producto, de un microorganismo probiótico y un prebiótico específico. Esta combinación tiene por objetivo obtener un beneficio a nivel intestinal en el consumidor o la supervivencia del probiótico durante la vida útil del mismo.</w:t>
      </w:r>
    </w:p>
  </w:comment>
  <w:comment w:id="1" w:author="Abel López" w:date="2022-08-08T16:37:00Z" w:initials="AL">
    <w:p w14:paraId="383E8ABC" w14:textId="151BB2F0" w:rsidR="005D4C51" w:rsidRDefault="005D4C51">
      <w:pPr>
        <w:pStyle w:val="Textocomentario"/>
      </w:pPr>
      <w:r>
        <w:rPr>
          <w:rStyle w:val="Refdecomentario"/>
        </w:rPr>
        <w:annotationRef/>
      </w:r>
      <w:r>
        <w:t>Nota del revisor: ¿Elaboración de qué?</w:t>
      </w:r>
    </w:p>
  </w:comment>
  <w:comment w:id="2" w:author="Abel López" w:date="2022-08-08T16:33:00Z" w:initials="AL">
    <w:p w14:paraId="3DA98A55" w14:textId="77777777" w:rsidR="000851BB" w:rsidRDefault="000851BB" w:rsidP="000851BB">
      <w:pPr>
        <w:widowControl/>
        <w:adjustRightInd w:val="0"/>
        <w:rPr>
          <w:rFonts w:ascii="Segoe UI" w:eastAsiaTheme="minorHAnsi" w:hAnsi="Segoe UI" w:cs="Segoe UI"/>
          <w:sz w:val="21"/>
          <w:szCs w:val="21"/>
          <w:lang w:val="es-AR"/>
        </w:rPr>
      </w:pPr>
      <w:r>
        <w:rPr>
          <w:rStyle w:val="Refdecomentario"/>
        </w:rPr>
        <w:annotationRef/>
      </w:r>
      <w:r>
        <w:t xml:space="preserve">Nota del revisor: </w:t>
      </w:r>
      <w:r>
        <w:rPr>
          <w:rFonts w:ascii="Segoe UI" w:eastAsiaTheme="minorHAnsi" w:hAnsi="Segoe UI" w:cs="Segoe UI"/>
          <w:color w:val="000000"/>
          <w:sz w:val="20"/>
          <w:szCs w:val="20"/>
          <w:lang w:val="es-AR"/>
        </w:rPr>
        <w:t>Revisar si la expresión es correcta.</w:t>
      </w:r>
    </w:p>
    <w:p w14:paraId="48CFCBE9" w14:textId="2C2CBCFE" w:rsidR="000851BB" w:rsidRPr="000851BB" w:rsidRDefault="000851BB">
      <w:pPr>
        <w:pStyle w:val="Textocomentario"/>
        <w:rPr>
          <w:lang w:val="es-AR"/>
        </w:rPr>
      </w:pPr>
    </w:p>
  </w:comment>
  <w:comment w:id="3" w:author="Abel López" w:date="2022-08-08T16:36:00Z" w:initials="AL">
    <w:p w14:paraId="02DFEC0E" w14:textId="2BE98275" w:rsidR="005D4C51" w:rsidRDefault="005D4C51">
      <w:pPr>
        <w:pStyle w:val="Textocomentario"/>
      </w:pPr>
      <w:r>
        <w:rPr>
          <w:rStyle w:val="Refdecomentario"/>
        </w:rPr>
        <w:annotationRef/>
      </w:r>
      <w:r>
        <w:t>Nota del revisor: Quitar la cita</w:t>
      </w:r>
    </w:p>
  </w:comment>
  <w:comment w:id="4" w:author="Abel López" w:date="2022-08-08T16:38:00Z" w:initials="AL">
    <w:p w14:paraId="62AC6FA3" w14:textId="17F43A95" w:rsidR="005D4C51" w:rsidRDefault="005D4C51">
      <w:pPr>
        <w:pStyle w:val="Textocomentario"/>
      </w:pPr>
      <w:r>
        <w:rPr>
          <w:rStyle w:val="Refdecomentario"/>
        </w:rPr>
        <w:annotationRef/>
      </w:r>
      <w:r>
        <w:t>Se repite la palabra</w:t>
      </w:r>
    </w:p>
  </w:comment>
  <w:comment w:id="5" w:author="Abel López" w:date="2022-08-08T16:27:00Z" w:initials="AL">
    <w:p w14:paraId="1E759A9F" w14:textId="00C43989" w:rsidR="004B618C" w:rsidRDefault="004B618C">
      <w:pPr>
        <w:pStyle w:val="Textocomentario"/>
      </w:pPr>
      <w:r>
        <w:rPr>
          <w:rStyle w:val="Refdecomentario"/>
        </w:rPr>
        <w:annotationRef/>
      </w:r>
      <w:r>
        <w:t xml:space="preserve">Nota del revisor: </w:t>
      </w:r>
      <w:r w:rsidR="005D4C51" w:rsidRPr="005D4C51">
        <w:t>Sugiero revisar la redacción para que quede más claro.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B67DB" w15:done="0"/>
  <w15:commentEx w15:paraId="383E8ABC" w15:done="0"/>
  <w15:commentEx w15:paraId="48CFCBE9" w15:done="0"/>
  <w15:commentEx w15:paraId="02DFEC0E" w15:done="0"/>
  <w15:commentEx w15:paraId="62AC6FA3" w15:done="0"/>
  <w15:commentEx w15:paraId="1E759A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B907" w16cex:dateUtc="2022-08-08T19:32:00Z"/>
  <w16cex:commentExtensible w16cex:durableId="269BBA58" w16cex:dateUtc="2022-08-08T19:37:00Z"/>
  <w16cex:commentExtensible w16cex:durableId="269BB974" w16cex:dateUtc="2022-08-08T19:33:00Z"/>
  <w16cex:commentExtensible w16cex:durableId="269BB9FF" w16cex:dateUtc="2022-08-08T19:36:00Z"/>
  <w16cex:commentExtensible w16cex:durableId="269BBA7B" w16cex:dateUtc="2022-08-08T19:38:00Z"/>
  <w16cex:commentExtensible w16cex:durableId="269BB7F0" w16cex:dateUtc="2022-08-08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B67DB" w16cid:durableId="269BB907"/>
  <w16cid:commentId w16cid:paraId="383E8ABC" w16cid:durableId="269BBA58"/>
  <w16cid:commentId w16cid:paraId="48CFCBE9" w16cid:durableId="269BB974"/>
  <w16cid:commentId w16cid:paraId="02DFEC0E" w16cid:durableId="269BB9FF"/>
  <w16cid:commentId w16cid:paraId="62AC6FA3" w16cid:durableId="269BBA7B"/>
  <w16cid:commentId w16cid:paraId="1E759A9F" w16cid:durableId="269BB7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D0AF" w14:textId="77777777" w:rsidR="00B26728" w:rsidRDefault="00B26728">
      <w:r>
        <w:separator/>
      </w:r>
    </w:p>
  </w:endnote>
  <w:endnote w:type="continuationSeparator" w:id="0">
    <w:p w14:paraId="0EB970E0" w14:textId="77777777" w:rsidR="00B26728" w:rsidRDefault="00B2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79A2" w14:textId="77777777" w:rsidR="00B26728" w:rsidRDefault="00B26728">
      <w:r>
        <w:separator/>
      </w:r>
    </w:p>
  </w:footnote>
  <w:footnote w:type="continuationSeparator" w:id="0">
    <w:p w14:paraId="3B43371B" w14:textId="77777777" w:rsidR="00B26728" w:rsidRDefault="00B2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9DC3" w14:textId="77777777" w:rsidR="00D95B08" w:rsidRDefault="00000000">
    <w:pPr>
      <w:pStyle w:val="Textoindependiente"/>
      <w:spacing w:line="14" w:lineRule="auto"/>
      <w:ind w:left="0"/>
      <w:rPr>
        <w:sz w:val="2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153A5F08" wp14:editId="7B5C85B4">
          <wp:simplePos x="0" y="0"/>
          <wp:positionH relativeFrom="page">
            <wp:posOffset>1818004</wp:posOffset>
          </wp:positionH>
          <wp:positionV relativeFrom="page">
            <wp:posOffset>3500754</wp:posOffset>
          </wp:positionV>
          <wp:extent cx="3920490" cy="39204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0490" cy="392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2949"/>
    <w:multiLevelType w:val="hybridMultilevel"/>
    <w:tmpl w:val="44C80738"/>
    <w:lvl w:ilvl="0" w:tplc="5B043012">
      <w:start w:val="1"/>
      <w:numFmt w:val="decimal"/>
      <w:lvlText w:val="(%1)"/>
      <w:lvlJc w:val="left"/>
      <w:pPr>
        <w:ind w:left="521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88E8B810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2" w:tplc="D2C2D4D4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EDA5DF4">
      <w:numFmt w:val="bullet"/>
      <w:lvlText w:val="•"/>
      <w:lvlJc w:val="left"/>
      <w:pPr>
        <w:ind w:left="3010" w:hanging="360"/>
      </w:pPr>
      <w:rPr>
        <w:rFonts w:hint="default"/>
        <w:lang w:val="es-ES" w:eastAsia="en-US" w:bidi="ar-SA"/>
      </w:rPr>
    </w:lvl>
    <w:lvl w:ilvl="4" w:tplc="B4F24B6A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A16A0602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6" w:tplc="CC2EA830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B0F63A16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CF80D848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</w:abstractNum>
  <w:num w:numId="1" w16cid:durableId="20933132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B08"/>
    <w:rsid w:val="000851BB"/>
    <w:rsid w:val="004B618C"/>
    <w:rsid w:val="005D4C51"/>
    <w:rsid w:val="00625D19"/>
    <w:rsid w:val="00B26728"/>
    <w:rsid w:val="00D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BA53923"/>
  <w15:docId w15:val="{9D3610B9-DD30-4D1E-8631-E3EE8DD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"/>
      <w:ind w:left="233" w:right="225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B6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1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18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18C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u@ucc.edu.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Aleu G-VIII-CICYTAC-2022.docx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Aleu G-VIII-CICYTAC-2022.docx</dc:title>
  <cp:lastModifiedBy>Abel López</cp:lastModifiedBy>
  <cp:revision>2</cp:revision>
  <dcterms:created xsi:type="dcterms:W3CDTF">2022-08-08T19:18:00Z</dcterms:created>
  <dcterms:modified xsi:type="dcterms:W3CDTF">2022-08-08T19:38:00Z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2022-08-08T00:00:00Z</vt:filetime>
  </property>
</Properties>
</file>