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44" w:rsidRDefault="00804007">
      <w:pPr>
        <w:spacing w:after="0" w:line="240" w:lineRule="auto"/>
        <w:ind w:left="0" w:hanging="2"/>
        <w:jc w:val="center"/>
        <w:rPr>
          <w:b/>
        </w:rPr>
      </w:pPr>
      <w:bookmarkStart w:id="0" w:name="_heading=h.gjdgxs" w:colFirst="0" w:colLast="0"/>
      <w:bookmarkStart w:id="1" w:name="_GoBack"/>
      <w:bookmarkEnd w:id="0"/>
      <w:bookmarkEnd w:id="1"/>
      <w:r>
        <w:rPr>
          <w:b/>
        </w:rPr>
        <w:t>Preservación de filetes de pescadilla frescos con radiación ionizante</w:t>
      </w:r>
    </w:p>
    <w:p w:rsidR="00523D44" w:rsidRDefault="00523D44">
      <w:pPr>
        <w:spacing w:after="0" w:line="240" w:lineRule="auto"/>
        <w:ind w:left="0" w:hanging="2"/>
        <w:jc w:val="center"/>
        <w:rPr>
          <w:b/>
        </w:rPr>
      </w:pPr>
    </w:p>
    <w:p w:rsidR="00523D44" w:rsidRDefault="00804007">
      <w:pPr>
        <w:spacing w:after="0" w:line="240" w:lineRule="auto"/>
        <w:ind w:left="0" w:hanging="2"/>
        <w:jc w:val="center"/>
      </w:pPr>
      <w:proofErr w:type="spellStart"/>
      <w:r>
        <w:t>Perez</w:t>
      </w:r>
      <w:proofErr w:type="spellEnd"/>
      <w:r>
        <w:t xml:space="preserve"> </w:t>
      </w:r>
      <w:proofErr w:type="spellStart"/>
      <w:r>
        <w:t>Cenci</w:t>
      </w:r>
      <w:proofErr w:type="spellEnd"/>
      <w:r>
        <w:t xml:space="preserve"> M (1)(2), </w:t>
      </w:r>
      <w:proofErr w:type="spellStart"/>
      <w:r>
        <w:t>Felix</w:t>
      </w:r>
      <w:proofErr w:type="spellEnd"/>
      <w:r>
        <w:t xml:space="preserve"> M L (1), </w:t>
      </w:r>
      <w:proofErr w:type="spellStart"/>
      <w:r>
        <w:t>Cova</w:t>
      </w:r>
      <w:proofErr w:type="spellEnd"/>
      <w:r>
        <w:t xml:space="preserve"> M C (3), </w:t>
      </w:r>
      <w:proofErr w:type="spellStart"/>
      <w:r>
        <w:t>Garcia</w:t>
      </w:r>
      <w:proofErr w:type="spellEnd"/>
      <w:r>
        <w:t xml:space="preserve"> Loredo A B (1)(2), </w:t>
      </w:r>
      <w:proofErr w:type="spellStart"/>
      <w:r>
        <w:t>Tomac</w:t>
      </w:r>
      <w:proofErr w:type="spellEnd"/>
      <w:r>
        <w:t xml:space="preserve"> A (1)(2)</w:t>
      </w:r>
    </w:p>
    <w:p w:rsidR="00523D44" w:rsidRDefault="00523D44">
      <w:pPr>
        <w:spacing w:after="0" w:line="240" w:lineRule="auto"/>
        <w:ind w:left="0" w:hanging="2"/>
        <w:jc w:val="center"/>
      </w:pPr>
    </w:p>
    <w:p w:rsidR="00523D44" w:rsidRDefault="00804007">
      <w:pPr>
        <w:spacing w:after="120" w:line="240" w:lineRule="auto"/>
        <w:ind w:left="0" w:hanging="2"/>
      </w:pPr>
      <w:r>
        <w:t>(1) Grupo de Investigación Preservación y Calidad de Alimentos (GIPCAL), INCITAA, Facultad de Ingeniería, UNMDP, Mar del</w:t>
      </w:r>
      <w:r w:rsidR="009B3434">
        <w:t xml:space="preserve"> P</w:t>
      </w:r>
      <w:r>
        <w:t>lata, Buenos Aires, Argentina.</w:t>
      </w:r>
    </w:p>
    <w:p w:rsidR="00523D44" w:rsidRDefault="00804007">
      <w:pPr>
        <w:spacing w:line="240" w:lineRule="auto"/>
        <w:ind w:left="0" w:hanging="2"/>
      </w:pPr>
      <w:r>
        <w:t>(2) Consejo Nacional de Investigaciones Científicas y Técnicas, CONICET, Argentina.</w:t>
      </w:r>
    </w:p>
    <w:p w:rsidR="00523D44" w:rsidRDefault="00804007">
      <w:pPr>
        <w:spacing w:line="240" w:lineRule="auto"/>
        <w:ind w:left="0" w:hanging="2"/>
      </w:pPr>
      <w:r>
        <w:t>(3) Sección Irradiación de Alimentos, Gerencia de Aplicaciones y Tecnología de Radiaciones, Gerencia de Área Aplicaciones de la Energía Nuclear, Comisión Nacional de Energía Atómica (CNEA</w:t>
      </w:r>
      <w:r w:rsidR="009B3434">
        <w:t xml:space="preserve">), </w:t>
      </w:r>
      <w:proofErr w:type="spellStart"/>
      <w:r>
        <w:t>Ezeiza</w:t>
      </w:r>
      <w:proofErr w:type="spellEnd"/>
      <w:r>
        <w:t>, Buenos Aires, Argentina.</w:t>
      </w:r>
    </w:p>
    <w:p w:rsidR="00523D44" w:rsidRDefault="0080400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mperezcenci@fi.mdp.edu.ar</w:t>
      </w:r>
      <w:r>
        <w:rPr>
          <w:color w:val="000000"/>
        </w:rPr>
        <w:tab/>
      </w:r>
    </w:p>
    <w:p w:rsidR="00523D44" w:rsidRDefault="00523D44" w:rsidP="009B3434">
      <w:pPr>
        <w:spacing w:after="0" w:line="240" w:lineRule="auto"/>
        <w:ind w:leftChars="0" w:left="0" w:firstLineChars="0" w:firstLine="0"/>
      </w:pPr>
    </w:p>
    <w:p w:rsidR="00523D44" w:rsidRDefault="00523D44">
      <w:pPr>
        <w:spacing w:after="0" w:line="240" w:lineRule="auto"/>
        <w:ind w:left="0" w:hanging="2"/>
      </w:pPr>
    </w:p>
    <w:p w:rsidR="009B3434" w:rsidRDefault="009B3434">
      <w:pPr>
        <w:spacing w:after="0" w:line="240" w:lineRule="auto"/>
        <w:ind w:left="0" w:hanging="2"/>
      </w:pPr>
    </w:p>
    <w:p w:rsidR="00523D44" w:rsidRDefault="00804007">
      <w:pPr>
        <w:ind w:left="0" w:hanging="2"/>
      </w:pPr>
      <w:bookmarkStart w:id="2" w:name="_heading=h.fmvhcktii3qj" w:colFirst="0" w:colLast="0"/>
      <w:bookmarkEnd w:id="2"/>
      <w:r>
        <w:t xml:space="preserve">La radiación ionizante es utilizada a nivel mundial para preservar alimentos. Desde el año 2017, la normativa argentina (CAA) ha aprobado su uso en distintas clases de alimentos, incluyendo los productos pesqueros. Esta tecnología resulta especialmente útil en este tipo de productos altamente perecederos, cuyas características nutricionales (calidad de proteínas y ácidos grasos) son apreciadas por los consumidores. La pescadilla </w:t>
      </w:r>
      <w:proofErr w:type="spellStart"/>
      <w:r>
        <w:rPr>
          <w:i/>
        </w:rPr>
        <w:t>Cynoscion</w:t>
      </w:r>
      <w:proofErr w:type="spellEnd"/>
      <w:r>
        <w:rPr>
          <w:i/>
        </w:rPr>
        <w:t xml:space="preserve"> </w:t>
      </w:r>
      <w:proofErr w:type="spellStart"/>
      <w:r>
        <w:rPr>
          <w:i/>
        </w:rPr>
        <w:t>guatucupa</w:t>
      </w:r>
      <w:proofErr w:type="spellEnd"/>
      <w:r>
        <w:t xml:space="preserve"> es una especie </w:t>
      </w:r>
      <w:proofErr w:type="spellStart"/>
      <w:r>
        <w:t>demersal</w:t>
      </w:r>
      <w:proofErr w:type="spellEnd"/>
      <w:r>
        <w:t xml:space="preserve"> capturada en el país. El objetivo fue analizar el efecto de distintas dosis de radiación gamma sobre el perfil microbiológico y parámetros fisicoquímicos de filetes de pescadilla, para extender su vida útil en refrigeración. Filetes de </w:t>
      </w:r>
      <w:proofErr w:type="spellStart"/>
      <w:r>
        <w:rPr>
          <w:i/>
        </w:rPr>
        <w:t>Cynoscion</w:t>
      </w:r>
      <w:proofErr w:type="spellEnd"/>
      <w:r>
        <w:rPr>
          <w:i/>
        </w:rPr>
        <w:t xml:space="preserve"> </w:t>
      </w:r>
      <w:proofErr w:type="spellStart"/>
      <w:r>
        <w:rPr>
          <w:i/>
        </w:rPr>
        <w:t>guatucupa</w:t>
      </w:r>
      <w:proofErr w:type="spellEnd"/>
      <w:r>
        <w:t xml:space="preserve"> fueron envasados en bolsas de polietileno y poliamida y transportados en refrigeración a la Planta </w:t>
      </w:r>
      <w:proofErr w:type="spellStart"/>
      <w:r>
        <w:t>Semi</w:t>
      </w:r>
      <w:proofErr w:type="spellEnd"/>
      <w:r>
        <w:t xml:space="preserve">-industrial de Cobalto 60 (600.000 </w:t>
      </w:r>
      <w:proofErr w:type="spellStart"/>
      <w:r>
        <w:t>Curies</w:t>
      </w:r>
      <w:proofErr w:type="spellEnd"/>
      <w:r>
        <w:t xml:space="preserve">) del Centro Atómico </w:t>
      </w:r>
      <w:proofErr w:type="spellStart"/>
      <w:r>
        <w:t>Ezeiza</w:t>
      </w:r>
      <w:proofErr w:type="spellEnd"/>
      <w:r>
        <w:t xml:space="preserve"> (CNEA) donde fueron irradiados a dosis medias globales de 0, 1,5, 4 y 6,5 </w:t>
      </w:r>
      <w:proofErr w:type="spellStart"/>
      <w:r>
        <w:t>kGy</w:t>
      </w:r>
      <w:proofErr w:type="spellEnd"/>
      <w:r>
        <w:t xml:space="preserve">, con una tasa de dosis de 8 </w:t>
      </w:r>
      <w:proofErr w:type="spellStart"/>
      <w:r>
        <w:t>kGy</w:t>
      </w:r>
      <w:proofErr w:type="spellEnd"/>
      <w:r>
        <w:t xml:space="preserve">/h y una uniformidad de dosis de 1,37. Se almacenaron a 4±1°C durante 1 mes. Se analizaron bacterias aerobias </w:t>
      </w:r>
      <w:proofErr w:type="spellStart"/>
      <w:r>
        <w:t>mesófilas</w:t>
      </w:r>
      <w:proofErr w:type="spellEnd"/>
      <w:r>
        <w:t xml:space="preserve"> (BAM) y </w:t>
      </w:r>
      <w:proofErr w:type="spellStart"/>
      <w:r>
        <w:t>psicrótrofas</w:t>
      </w:r>
      <w:proofErr w:type="spellEnd"/>
      <w:r>
        <w:t xml:space="preserve"> (BAP) totales, </w:t>
      </w:r>
      <w:proofErr w:type="spellStart"/>
      <w:r>
        <w:t>coliformes</w:t>
      </w:r>
      <w:proofErr w:type="spellEnd"/>
      <w:r>
        <w:t xml:space="preserve"> totales, </w:t>
      </w:r>
      <w:proofErr w:type="spellStart"/>
      <w:r>
        <w:t>enterobacterias</w:t>
      </w:r>
      <w:proofErr w:type="spellEnd"/>
      <w:r>
        <w:t xml:space="preserve"> y </w:t>
      </w:r>
      <w:proofErr w:type="spellStart"/>
      <w:r>
        <w:rPr>
          <w:i/>
        </w:rPr>
        <w:t>Staphylococcus</w:t>
      </w:r>
      <w:proofErr w:type="spellEnd"/>
      <w:r>
        <w:t xml:space="preserve"> </w:t>
      </w:r>
      <w:proofErr w:type="spellStart"/>
      <w:r>
        <w:t>spp</w:t>
      </w:r>
      <w:proofErr w:type="spellEnd"/>
      <w:r>
        <w:t xml:space="preserve">. Se determinó la composición química proximal, pH y Nitrógeno Básico Volátil (NBV). Los resultados se analizaron con ANOVA de dos factores (dosis-tiempo) y Test de </w:t>
      </w:r>
      <w:proofErr w:type="spellStart"/>
      <w:r>
        <w:t>Tukey</w:t>
      </w:r>
      <w:proofErr w:type="spellEnd"/>
      <w:r>
        <w:t xml:space="preserve"> (p&lt;0,05). La composición de los filetes fue 79,1±0,8% agua, 16,5±1,2% proteínas, 2,1±0,3% lípidos y 1,12±0,08% cenizas. Los recuentos de BAM y BAP iniciales fueron 2,63x10</w:t>
      </w:r>
      <w:r>
        <w:rPr>
          <w:vertAlign w:val="superscript"/>
        </w:rPr>
        <w:t>4</w:t>
      </w:r>
      <w:r>
        <w:t>±0,25x10</w:t>
      </w:r>
      <w:r>
        <w:rPr>
          <w:vertAlign w:val="superscript"/>
        </w:rPr>
        <w:t>4</w:t>
      </w:r>
      <w:r>
        <w:t xml:space="preserve"> y 3,69x10</w:t>
      </w:r>
      <w:r>
        <w:rPr>
          <w:vertAlign w:val="superscript"/>
        </w:rPr>
        <w:t>3</w:t>
      </w:r>
      <w:r>
        <w:t>±2,62x10</w:t>
      </w:r>
      <w:r>
        <w:rPr>
          <w:vertAlign w:val="superscript"/>
        </w:rPr>
        <w:t>3</w:t>
      </w:r>
      <w:r>
        <w:t xml:space="preserve"> UFC/g, respectivamente. La radiación gamma los redujo de manera dependiente con la dosis. Con dosis de 4 y 6,5 </w:t>
      </w:r>
      <w:proofErr w:type="spellStart"/>
      <w:r>
        <w:t>kGy</w:t>
      </w:r>
      <w:proofErr w:type="spellEnd"/>
      <w:r>
        <w:t xml:space="preserve"> los recuentos se redujeron por debajo del límite de detección (&lt;10 UFC/g). Durante el almacenamiento, BAM aumentó en el control hasta 3,95x10</w:t>
      </w:r>
      <w:r>
        <w:rPr>
          <w:vertAlign w:val="superscript"/>
        </w:rPr>
        <w:t>6</w:t>
      </w:r>
      <w:r>
        <w:t>±0,07x10</w:t>
      </w:r>
      <w:r>
        <w:rPr>
          <w:vertAlign w:val="superscript"/>
        </w:rPr>
        <w:t>6</w:t>
      </w:r>
      <w:r>
        <w:t xml:space="preserve"> UFC/g, siendo significativamente mayor al de las muestras irradiadas con 1,5, 4 y 6,5 </w:t>
      </w:r>
      <w:proofErr w:type="spellStart"/>
      <w:r>
        <w:t>kGy</w:t>
      </w:r>
      <w:proofErr w:type="spellEnd"/>
      <w:r>
        <w:t xml:space="preserve"> el día 12 (6,58x10</w:t>
      </w:r>
      <w:r>
        <w:rPr>
          <w:vertAlign w:val="superscript"/>
        </w:rPr>
        <w:t>5</w:t>
      </w:r>
      <w:r>
        <w:t>±0,50x10</w:t>
      </w:r>
      <w:r>
        <w:rPr>
          <w:vertAlign w:val="superscript"/>
        </w:rPr>
        <w:t>5</w:t>
      </w:r>
      <w:r>
        <w:t xml:space="preserve"> UFC/g,</w:t>
      </w:r>
      <w:r>
        <w:rPr>
          <w:i/>
          <w:color w:val="0000FF"/>
        </w:rPr>
        <w:t xml:space="preserve"> </w:t>
      </w:r>
      <w:r>
        <w:t xml:space="preserve">ND y ND, </w:t>
      </w:r>
      <w:r>
        <w:lastRenderedPageBreak/>
        <w:t>respectivamente). El BAP aumentó a 3,32x10</w:t>
      </w:r>
      <w:r>
        <w:rPr>
          <w:vertAlign w:val="superscript"/>
        </w:rPr>
        <w:t>7</w:t>
      </w:r>
      <w:r>
        <w:t>±0,14x10</w:t>
      </w:r>
      <w:r>
        <w:rPr>
          <w:vertAlign w:val="superscript"/>
        </w:rPr>
        <w:t>7</w:t>
      </w:r>
      <w:r>
        <w:t xml:space="preserve"> UFC/g</w:t>
      </w:r>
      <w:r>
        <w:rPr>
          <w:i/>
          <w:color w:val="0000FF"/>
        </w:rPr>
        <w:t xml:space="preserve"> </w:t>
      </w:r>
      <w:r>
        <w:t xml:space="preserve">en el control (día 5), siendo mayor al de las muestras irradiadas (p&lt;0,05). Los recuentos iniciales de </w:t>
      </w:r>
      <w:proofErr w:type="spellStart"/>
      <w:r>
        <w:t>enterobacterias</w:t>
      </w:r>
      <w:proofErr w:type="spellEnd"/>
      <w:r>
        <w:t xml:space="preserve">, </w:t>
      </w:r>
      <w:proofErr w:type="spellStart"/>
      <w:r>
        <w:t>coliformes</w:t>
      </w:r>
      <w:proofErr w:type="spellEnd"/>
      <w:r>
        <w:t xml:space="preserve"> y </w:t>
      </w:r>
      <w:proofErr w:type="spellStart"/>
      <w:r>
        <w:rPr>
          <w:i/>
        </w:rPr>
        <w:t>Staphylococcus</w:t>
      </w:r>
      <w:proofErr w:type="spellEnd"/>
      <w:r>
        <w:t xml:space="preserve"> </w:t>
      </w:r>
      <w:proofErr w:type="spellStart"/>
      <w:r>
        <w:t>spp</w:t>
      </w:r>
      <w:proofErr w:type="spellEnd"/>
      <w:r>
        <w:t xml:space="preserve">. fueron reducidos a valores no detectables con las tres dosis de irradiación. El pH inicial fue 6,65±0,01. En el control aumentó hasta 8,03±0,10 el día 19, siendo significativamente mayor al de las muestras irradiadas con 1,5, 4 y 6,5 </w:t>
      </w:r>
      <w:proofErr w:type="spellStart"/>
      <w:r>
        <w:t>kGy</w:t>
      </w:r>
      <w:proofErr w:type="spellEnd"/>
      <w:r>
        <w:t xml:space="preserve"> (7,72±0,01; 7,11±0,03 y 6,70±0,01, respectivamente). El valor inicial de NBV fue 26,1±0,3 mg/100g y aumentó exponencialmente en el control hasta un valor de 129,1±1,2 mg/100g, a los 19 días. El NBV del control fue durante todo el período significativamente mayor al de las muestras irradiadas con 1,5, 4 y 6,5 </w:t>
      </w:r>
      <w:proofErr w:type="spellStart"/>
      <w:r>
        <w:t>kGy</w:t>
      </w:r>
      <w:proofErr w:type="spellEnd"/>
      <w:r>
        <w:t xml:space="preserve"> cuyos valores fueron 79,9±1,1; 41,9±2,0 y 40,1±1,4 mg/100g, respectivamente (día 19). Esta disminución en los cambios asociados con el deterioro (pH y NBV) durante el almacenamiento se relaciona con la reducción microbiana inducida por la radiación. La radiación gamma redujo los recuentos iniciales de microorganismos, disminuyó su velocidad de desarrollo y la producción de NBV, extendiendo la vida útil de filetes de </w:t>
      </w:r>
      <w:proofErr w:type="spellStart"/>
      <w:r>
        <w:rPr>
          <w:i/>
        </w:rPr>
        <w:t>Cynoscion</w:t>
      </w:r>
      <w:proofErr w:type="spellEnd"/>
      <w:r>
        <w:rPr>
          <w:i/>
        </w:rPr>
        <w:t xml:space="preserve"> </w:t>
      </w:r>
      <w:proofErr w:type="spellStart"/>
      <w:r>
        <w:rPr>
          <w:i/>
        </w:rPr>
        <w:t>guatucupa</w:t>
      </w:r>
      <w:proofErr w:type="spellEnd"/>
      <w:r>
        <w:rPr>
          <w:i/>
        </w:rPr>
        <w:t xml:space="preserve"> </w:t>
      </w:r>
      <w:r>
        <w:t xml:space="preserve">en refrigeración. </w:t>
      </w:r>
    </w:p>
    <w:p w:rsidR="00523D44" w:rsidRDefault="00804007">
      <w:pPr>
        <w:ind w:left="0" w:hanging="2"/>
      </w:pPr>
      <w:r>
        <w:t>Palabras Clave: Irradiación gamma, productos pesqueros, extensión de vida útil, inactivación microbiana</w:t>
      </w:r>
    </w:p>
    <w:p w:rsidR="00523D44" w:rsidRDefault="00523D44">
      <w:pPr>
        <w:spacing w:after="0" w:line="240" w:lineRule="auto"/>
        <w:ind w:left="0" w:hanging="2"/>
      </w:pPr>
    </w:p>
    <w:p w:rsidR="00523D44" w:rsidRDefault="00523D44">
      <w:pPr>
        <w:spacing w:after="0" w:line="240" w:lineRule="auto"/>
        <w:ind w:left="0" w:hanging="2"/>
      </w:pPr>
    </w:p>
    <w:p w:rsidR="00523D44" w:rsidRDefault="00523D44">
      <w:pPr>
        <w:spacing w:after="0" w:line="240" w:lineRule="auto"/>
        <w:ind w:left="0" w:hanging="2"/>
      </w:pPr>
    </w:p>
    <w:sectPr w:rsidR="00523D44">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905" w:rsidRDefault="000F7905">
      <w:pPr>
        <w:spacing w:after="0" w:line="240" w:lineRule="auto"/>
        <w:ind w:left="0" w:hanging="2"/>
      </w:pPr>
      <w:r>
        <w:separator/>
      </w:r>
    </w:p>
  </w:endnote>
  <w:endnote w:type="continuationSeparator" w:id="0">
    <w:p w:rsidR="000F7905" w:rsidRDefault="000F790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4" w:rsidRDefault="00523D44">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4" w:rsidRDefault="00523D44">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4" w:rsidRDefault="00523D44">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905" w:rsidRDefault="000F7905">
      <w:pPr>
        <w:spacing w:after="0" w:line="240" w:lineRule="auto"/>
        <w:ind w:left="0" w:hanging="2"/>
      </w:pPr>
      <w:r>
        <w:separator/>
      </w:r>
    </w:p>
  </w:footnote>
  <w:footnote w:type="continuationSeparator" w:id="0">
    <w:p w:rsidR="000F7905" w:rsidRDefault="000F790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4" w:rsidRDefault="00523D44">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4" w:rsidRDefault="0080400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4" w:rsidRDefault="00523D44">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44"/>
    <w:rsid w:val="00042EA9"/>
    <w:rsid w:val="000F7905"/>
    <w:rsid w:val="00523D44"/>
    <w:rsid w:val="00804007"/>
    <w:rsid w:val="009B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0379C6"/>
    <w:pPr>
      <w:autoSpaceDE w:val="0"/>
      <w:autoSpaceDN w:val="0"/>
      <w:adjustRightInd w:val="0"/>
      <w:spacing w:after="0" w:line="240" w:lineRule="auto"/>
      <w:jc w:val="left"/>
    </w:pPr>
    <w:rPr>
      <w:rFonts w:ascii="Times New Roman" w:eastAsia="Times New Roman" w:hAnsi="Times New Roman" w:cs="Times New Roman"/>
      <w:color w:val="000000"/>
    </w:rPr>
  </w:style>
  <w:style w:type="character" w:styleId="Refdecomentario">
    <w:name w:val="annotation reference"/>
    <w:basedOn w:val="Fuentedeprrafopredeter"/>
    <w:uiPriority w:val="99"/>
    <w:semiHidden/>
    <w:unhideWhenUsed/>
    <w:rsid w:val="000379C6"/>
    <w:rPr>
      <w:sz w:val="16"/>
      <w:szCs w:val="16"/>
    </w:rPr>
  </w:style>
  <w:style w:type="paragraph" w:styleId="Textocomentario">
    <w:name w:val="annotation text"/>
    <w:basedOn w:val="Normal"/>
    <w:link w:val="TextocomentarioCar"/>
    <w:uiPriority w:val="99"/>
    <w:semiHidden/>
    <w:unhideWhenUsed/>
    <w:rsid w:val="000379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79C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379C6"/>
    <w:rPr>
      <w:b/>
      <w:bCs/>
    </w:rPr>
  </w:style>
  <w:style w:type="character" w:customStyle="1" w:styleId="AsuntodelcomentarioCar">
    <w:name w:val="Asunto del comentario Car"/>
    <w:basedOn w:val="TextocomentarioCar"/>
    <w:link w:val="Asuntodelcomentario"/>
    <w:uiPriority w:val="99"/>
    <w:semiHidden/>
    <w:rsid w:val="000379C6"/>
    <w:rPr>
      <w:b/>
      <w:bCs/>
      <w:position w:val="-1"/>
      <w:sz w:val="20"/>
      <w:szCs w:val="20"/>
      <w:lang w:eastAsia="en-US"/>
    </w:rPr>
  </w:style>
  <w:style w:type="character" w:customStyle="1" w:styleId="apple-style-span">
    <w:name w:val="apple-style-span"/>
    <w:basedOn w:val="Fuentedeprrafopredeter"/>
    <w:rsid w:val="00382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0379C6"/>
    <w:pPr>
      <w:autoSpaceDE w:val="0"/>
      <w:autoSpaceDN w:val="0"/>
      <w:adjustRightInd w:val="0"/>
      <w:spacing w:after="0" w:line="240" w:lineRule="auto"/>
      <w:jc w:val="left"/>
    </w:pPr>
    <w:rPr>
      <w:rFonts w:ascii="Times New Roman" w:eastAsia="Times New Roman" w:hAnsi="Times New Roman" w:cs="Times New Roman"/>
      <w:color w:val="000000"/>
    </w:rPr>
  </w:style>
  <w:style w:type="character" w:styleId="Refdecomentario">
    <w:name w:val="annotation reference"/>
    <w:basedOn w:val="Fuentedeprrafopredeter"/>
    <w:uiPriority w:val="99"/>
    <w:semiHidden/>
    <w:unhideWhenUsed/>
    <w:rsid w:val="000379C6"/>
    <w:rPr>
      <w:sz w:val="16"/>
      <w:szCs w:val="16"/>
    </w:rPr>
  </w:style>
  <w:style w:type="paragraph" w:styleId="Textocomentario">
    <w:name w:val="annotation text"/>
    <w:basedOn w:val="Normal"/>
    <w:link w:val="TextocomentarioCar"/>
    <w:uiPriority w:val="99"/>
    <w:semiHidden/>
    <w:unhideWhenUsed/>
    <w:rsid w:val="000379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79C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379C6"/>
    <w:rPr>
      <w:b/>
      <w:bCs/>
    </w:rPr>
  </w:style>
  <w:style w:type="character" w:customStyle="1" w:styleId="AsuntodelcomentarioCar">
    <w:name w:val="Asunto del comentario Car"/>
    <w:basedOn w:val="TextocomentarioCar"/>
    <w:link w:val="Asuntodelcomentario"/>
    <w:uiPriority w:val="99"/>
    <w:semiHidden/>
    <w:rsid w:val="000379C6"/>
    <w:rPr>
      <w:b/>
      <w:bCs/>
      <w:position w:val="-1"/>
      <w:sz w:val="20"/>
      <w:szCs w:val="20"/>
      <w:lang w:eastAsia="en-US"/>
    </w:rPr>
  </w:style>
  <w:style w:type="character" w:customStyle="1" w:styleId="apple-style-span">
    <w:name w:val="apple-style-span"/>
    <w:basedOn w:val="Fuentedeprrafopredeter"/>
    <w:rsid w:val="00382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fRwLyvGJhFhlAQuyEOLdkbCmw==">AMUW2mWdyM5PkO9mPC4rngjymJIO8JYqFAAdL2gun+luk+W2E1GeozONhK3T2p78rTGVk0KOLbUG5tEcCQuqwYblNmHnSQ1Bao0b2QKAOzZrh9ggZzsRlZ4jpXxyUXS8k2lkod3RjP8WyhLdch7qkRcx02QKYSkiEw==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2022-08-23T18:26:00Z</dcterms:created>
  <dcterms:modified xsi:type="dcterms:W3CDTF">2022-08-23T18:26:00Z</dcterms:modified>
</cp:coreProperties>
</file>