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C1" w:rsidRPr="00F6434C" w:rsidRDefault="00CA4CBF" w:rsidP="00F6434C">
      <w:pPr>
        <w:pBdr>
          <w:top w:val="nil"/>
          <w:left w:val="nil"/>
          <w:bottom w:val="nil"/>
          <w:right w:val="nil"/>
          <w:between w:val="nil"/>
        </w:pBdr>
        <w:spacing w:after="0" w:line="240" w:lineRule="auto"/>
        <w:ind w:left="0" w:hanging="2"/>
        <w:jc w:val="center"/>
        <w:rPr>
          <w:b/>
          <w:color w:val="000000"/>
        </w:rPr>
      </w:pPr>
      <w:r>
        <w:rPr>
          <w:b/>
          <w:color w:val="000000"/>
        </w:rPr>
        <w:t>Determinación de Contenido de Fenoles Totales en aceites esenciales de albahaca (</w:t>
      </w:r>
      <w:proofErr w:type="spellStart"/>
      <w:r w:rsidRPr="008874D5">
        <w:rPr>
          <w:b/>
          <w:i/>
          <w:color w:val="000000"/>
        </w:rPr>
        <w:t>Ocimun</w:t>
      </w:r>
      <w:proofErr w:type="spellEnd"/>
      <w:r w:rsidRPr="008874D5">
        <w:rPr>
          <w:b/>
          <w:i/>
          <w:color w:val="000000"/>
        </w:rPr>
        <w:t xml:space="preserve"> </w:t>
      </w:r>
      <w:proofErr w:type="spellStart"/>
      <w:r w:rsidRPr="008874D5">
        <w:rPr>
          <w:b/>
          <w:i/>
          <w:color w:val="000000"/>
        </w:rPr>
        <w:t>basilicum</w:t>
      </w:r>
      <w:proofErr w:type="spellEnd"/>
      <w:r w:rsidRPr="00CA4CBF">
        <w:rPr>
          <w:b/>
          <w:color w:val="000000"/>
        </w:rPr>
        <w:t>)</w:t>
      </w:r>
      <w:r>
        <w:rPr>
          <w:b/>
          <w:color w:val="000000"/>
        </w:rPr>
        <w:t xml:space="preserve"> y de variedades de </w:t>
      </w:r>
      <w:proofErr w:type="spellStart"/>
      <w:r w:rsidRPr="00CA4CBF">
        <w:rPr>
          <w:b/>
          <w:i/>
          <w:color w:val="000000"/>
        </w:rPr>
        <w:t>Cymbopogon</w:t>
      </w:r>
      <w:proofErr w:type="spellEnd"/>
      <w:r w:rsidR="00F6434C">
        <w:rPr>
          <w:b/>
          <w:color w:val="000000"/>
        </w:rPr>
        <w:t xml:space="preserve"> </w:t>
      </w:r>
      <w:r>
        <w:rPr>
          <w:b/>
          <w:color w:val="000000"/>
        </w:rPr>
        <w:t>para su potencial uso como antioxidante en alimentos</w:t>
      </w:r>
      <w:r w:rsidR="00A05BF9">
        <w:rPr>
          <w:b/>
          <w:color w:val="000000"/>
        </w:rPr>
        <w:t xml:space="preserve"> </w:t>
      </w:r>
      <w:bookmarkStart w:id="0" w:name="_GoBack"/>
      <w:bookmarkEnd w:id="0"/>
    </w:p>
    <w:p w:rsidR="00AD05C1" w:rsidRDefault="00AD05C1">
      <w:pPr>
        <w:spacing w:after="0" w:line="240" w:lineRule="auto"/>
        <w:ind w:left="0" w:hanging="2"/>
        <w:jc w:val="center"/>
      </w:pPr>
    </w:p>
    <w:p w:rsidR="00AD05C1" w:rsidRDefault="00EB181C" w:rsidP="00FA20AC">
      <w:pPr>
        <w:spacing w:after="0" w:line="240" w:lineRule="auto"/>
        <w:ind w:left="0" w:hanging="2"/>
        <w:jc w:val="center"/>
      </w:pPr>
      <w:r>
        <w:t>Juncos NS</w:t>
      </w:r>
      <w:r w:rsidRPr="00EB181C">
        <w:t xml:space="preserve"> </w:t>
      </w:r>
      <w:r>
        <w:t>(1,</w:t>
      </w:r>
      <w:r w:rsidRPr="00EB181C">
        <w:t>2</w:t>
      </w:r>
      <w:r>
        <w:t xml:space="preserve">), </w:t>
      </w:r>
      <w:proofErr w:type="spellStart"/>
      <w:r>
        <w:t>Cravero</w:t>
      </w:r>
      <w:proofErr w:type="spellEnd"/>
      <w:r>
        <w:t xml:space="preserve"> </w:t>
      </w:r>
      <w:proofErr w:type="spellStart"/>
      <w:r>
        <w:t>Ponso</w:t>
      </w:r>
      <w:proofErr w:type="spellEnd"/>
      <w:r>
        <w:t xml:space="preserve"> CF</w:t>
      </w:r>
      <w:r w:rsidRPr="00EB181C">
        <w:t xml:space="preserve"> </w:t>
      </w:r>
      <w:r>
        <w:t>(</w:t>
      </w:r>
      <w:r w:rsidRPr="00EB181C">
        <w:t>3</w:t>
      </w:r>
      <w:r>
        <w:t>), Grosso NR</w:t>
      </w:r>
      <w:r w:rsidRPr="00EB181C">
        <w:t xml:space="preserve"> </w:t>
      </w:r>
      <w:r>
        <w:t>(</w:t>
      </w:r>
      <w:r w:rsidRPr="00EB181C">
        <w:t>1,2</w:t>
      </w:r>
      <w:r>
        <w:t>)</w:t>
      </w:r>
      <w:r w:rsidR="00FA20AC">
        <w:t>,</w:t>
      </w:r>
      <w:r w:rsidR="00FA20AC" w:rsidRPr="00FA20AC">
        <w:t xml:space="preserve"> </w:t>
      </w:r>
      <w:r w:rsidR="00FA20AC">
        <w:t>Olmedo RH</w:t>
      </w:r>
      <w:r w:rsidR="00FA20AC" w:rsidRPr="00EB181C">
        <w:t xml:space="preserve"> </w:t>
      </w:r>
      <w:r w:rsidR="00FA20AC">
        <w:t>(</w:t>
      </w:r>
      <w:r w:rsidR="00FA20AC" w:rsidRPr="00EB181C">
        <w:t>1,4</w:t>
      </w:r>
      <w:r w:rsidR="00FA20AC">
        <w:t>)</w:t>
      </w:r>
    </w:p>
    <w:p w:rsidR="00AD05C1" w:rsidRDefault="00AD05C1">
      <w:pPr>
        <w:spacing w:after="0" w:line="240" w:lineRule="auto"/>
        <w:ind w:left="0" w:hanging="2"/>
        <w:jc w:val="center"/>
      </w:pPr>
    </w:p>
    <w:p w:rsidR="00AD05C1" w:rsidRDefault="008E4917">
      <w:pPr>
        <w:spacing w:after="120" w:line="240" w:lineRule="auto"/>
        <w:ind w:left="0" w:hanging="2"/>
        <w:jc w:val="left"/>
      </w:pPr>
      <w:r>
        <w:t xml:space="preserve">(1) </w:t>
      </w:r>
      <w:r w:rsidR="00EB181C" w:rsidRPr="00EB181C">
        <w:t>Universid</w:t>
      </w:r>
      <w:r w:rsidR="00EB181C">
        <w:t xml:space="preserve">ad Nacional de Córdoba / </w:t>
      </w:r>
      <w:r w:rsidR="00EB181C" w:rsidRPr="00EB181C">
        <w:t>Fac</w:t>
      </w:r>
      <w:r w:rsidR="00EB181C">
        <w:t>ultad de Ciencias Agropecuarias /</w:t>
      </w:r>
      <w:r w:rsidR="00EB181C" w:rsidRPr="00EB181C">
        <w:t xml:space="preserve"> Laboratorio de Tecnología de Alimentos (</w:t>
      </w:r>
      <w:proofErr w:type="spellStart"/>
      <w:r w:rsidR="00EB181C" w:rsidRPr="00EB181C">
        <w:t>LabTA</w:t>
      </w:r>
      <w:proofErr w:type="spellEnd"/>
      <w:r w:rsidR="00EB181C" w:rsidRPr="00EB181C">
        <w:t>) / Química Biológica</w:t>
      </w:r>
      <w:r>
        <w:t xml:space="preserve">, </w:t>
      </w:r>
      <w:r w:rsidR="00EB181C">
        <w:t>Córdoba capital, Córdoba, Argentina.</w:t>
      </w:r>
    </w:p>
    <w:p w:rsidR="00AD05C1" w:rsidRDefault="008E4917">
      <w:pPr>
        <w:spacing w:line="240" w:lineRule="auto"/>
        <w:ind w:left="0" w:hanging="2"/>
        <w:jc w:val="left"/>
      </w:pPr>
      <w:r>
        <w:t xml:space="preserve">(2) </w:t>
      </w:r>
      <w:r w:rsidR="00EB181C">
        <w:t xml:space="preserve">CONICET / </w:t>
      </w:r>
      <w:r w:rsidR="00EB181C" w:rsidRPr="00EB181C">
        <w:t>Instituto Multidisciplinario de Biología Vegetal (IMBIV</w:t>
      </w:r>
      <w:r w:rsidR="00EB181C">
        <w:t>)</w:t>
      </w:r>
      <w:r>
        <w:t xml:space="preserve">, </w:t>
      </w:r>
      <w:r w:rsidR="00EB181C" w:rsidRPr="00EB181C">
        <w:t>Córdoba capital, Córdoba, Argentina.</w:t>
      </w:r>
    </w:p>
    <w:p w:rsidR="00EB181C" w:rsidRDefault="00EB181C" w:rsidP="00EB181C">
      <w:pPr>
        <w:spacing w:line="240" w:lineRule="auto"/>
        <w:ind w:left="0" w:hanging="2"/>
        <w:jc w:val="left"/>
      </w:pPr>
      <w:r>
        <w:t>(3) Universidad Nacional de Córdoba /</w:t>
      </w:r>
      <w:r w:rsidRPr="00EB181C">
        <w:t xml:space="preserve"> Fac</w:t>
      </w:r>
      <w:r>
        <w:t xml:space="preserve">ultad de Ciencias Agropecuarias / </w:t>
      </w:r>
      <w:r w:rsidRPr="00EB181C">
        <w:t>Laboratorio de Lactología / Producción de Leche</w:t>
      </w:r>
      <w:r>
        <w:t>,</w:t>
      </w:r>
      <w:r w:rsidRPr="00EB181C">
        <w:t xml:space="preserve"> Córdoba capital, Córdoba, Argentina.</w:t>
      </w:r>
    </w:p>
    <w:p w:rsidR="00EB181C" w:rsidRDefault="00EB181C" w:rsidP="00EB181C">
      <w:pPr>
        <w:spacing w:line="240" w:lineRule="auto"/>
        <w:ind w:left="0" w:hanging="2"/>
        <w:jc w:val="left"/>
      </w:pPr>
      <w:r>
        <w:t>(4) CONICET /</w:t>
      </w:r>
      <w:r w:rsidRPr="00EB181C">
        <w:t xml:space="preserve"> Instituto de Ciencia y Tecnología de Alimentos Córdoba (ICYTAC</w:t>
      </w:r>
      <w:r>
        <w:t>),</w:t>
      </w:r>
      <w:r w:rsidR="00EB6169">
        <w:t xml:space="preserve"> </w:t>
      </w:r>
      <w:r w:rsidRPr="00EB181C">
        <w:t>Córdoba capital, Córdoba, Argentina.</w:t>
      </w:r>
    </w:p>
    <w:p w:rsidR="00AD05C1" w:rsidRDefault="008E491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EB181C">
        <w:rPr>
          <w:color w:val="000000"/>
        </w:rPr>
        <w:t xml:space="preserve"> njuncos@agro.unc.edu.ar</w:t>
      </w:r>
      <w:r>
        <w:rPr>
          <w:color w:val="000000"/>
        </w:rPr>
        <w:tab/>
      </w:r>
    </w:p>
    <w:p w:rsidR="00AD05C1" w:rsidRDefault="00AD05C1">
      <w:pPr>
        <w:spacing w:after="0" w:line="240" w:lineRule="auto"/>
        <w:ind w:left="0" w:hanging="2"/>
      </w:pPr>
    </w:p>
    <w:p w:rsidR="00933EBB" w:rsidRDefault="00933EBB" w:rsidP="00E72687">
      <w:pPr>
        <w:spacing w:after="0" w:line="240" w:lineRule="auto"/>
        <w:ind w:left="0" w:hanging="2"/>
      </w:pPr>
    </w:p>
    <w:p w:rsidR="006A0B70" w:rsidRDefault="00CA4CBF" w:rsidP="009F0193">
      <w:pPr>
        <w:pStyle w:val="Sinespaciado"/>
        <w:ind w:left="0" w:hanging="2"/>
      </w:pPr>
      <w:r>
        <w:t xml:space="preserve">En los últimos tiempos el interés de los consumidores por alimentos que presenten componentes naturales en sus formulaciones </w:t>
      </w:r>
      <w:r w:rsidR="008853AD">
        <w:t>ha</w:t>
      </w:r>
      <w:r>
        <w:t xml:space="preserve"> estado incrementando el interés por descubrir nuevos usos y aplicaciones de compuestos que se encuentran en la naturaleza y con bajo nivel de procesamiento. Los aceites esenciales presentan en su composición moléculas con probada actividad antioxidante debido a la estructura de dichas moléculas y la interacción con los mecanismos de oxidación. El uso de aceites esenciales puede retardar el deterioro de los alimentos causados por la oxidación de los mismos. El objetivo de la investigación estuvo en determinar el nivel de fenoles totales como un indicador de potencial actividad antioxidante en aceite esencial de albahaca (</w:t>
      </w:r>
      <w:proofErr w:type="spellStart"/>
      <w:r w:rsidRPr="00CA4CBF">
        <w:t>Ocimun</w:t>
      </w:r>
      <w:proofErr w:type="spellEnd"/>
      <w:r w:rsidRPr="00CA4CBF">
        <w:t xml:space="preserve"> </w:t>
      </w:r>
      <w:proofErr w:type="spellStart"/>
      <w:r w:rsidRPr="00CA4CBF">
        <w:t>basilicum</w:t>
      </w:r>
      <w:proofErr w:type="spellEnd"/>
      <w:r w:rsidRPr="00CA4CBF">
        <w:t>)</w:t>
      </w:r>
      <w:r w:rsidR="006A0B70" w:rsidRPr="006A0B70">
        <w:t xml:space="preserve"> </w:t>
      </w:r>
      <w:r w:rsidR="006A0B70">
        <w:t xml:space="preserve">(AEA) </w:t>
      </w:r>
      <w:r>
        <w:t xml:space="preserve"> </w:t>
      </w:r>
      <w:r w:rsidR="008853AD">
        <w:t xml:space="preserve">y en tres variedades de </w:t>
      </w:r>
      <w:proofErr w:type="spellStart"/>
      <w:r w:rsidR="008853AD" w:rsidRPr="008853AD">
        <w:rPr>
          <w:i/>
        </w:rPr>
        <w:t>Cymbopogon</w:t>
      </w:r>
      <w:proofErr w:type="spellEnd"/>
      <w:r w:rsidR="008853AD">
        <w:rPr>
          <w:i/>
        </w:rPr>
        <w:t xml:space="preserve"> </w:t>
      </w:r>
      <w:r w:rsidR="008853AD">
        <w:t>(</w:t>
      </w:r>
      <w:proofErr w:type="spellStart"/>
      <w:r w:rsidR="008853AD">
        <w:t>citronela</w:t>
      </w:r>
      <w:proofErr w:type="spellEnd"/>
      <w:r w:rsidR="008853AD">
        <w:t xml:space="preserve">: </w:t>
      </w:r>
      <w:r w:rsidR="008853AD" w:rsidRPr="006A0B70">
        <w:rPr>
          <w:i/>
        </w:rPr>
        <w:t>C</w:t>
      </w:r>
      <w:r w:rsidR="006A0B70">
        <w:rPr>
          <w:i/>
        </w:rPr>
        <w:t>.</w:t>
      </w:r>
      <w:r w:rsidR="008853AD" w:rsidRPr="006A0B70">
        <w:rPr>
          <w:i/>
        </w:rPr>
        <w:t xml:space="preserve"> </w:t>
      </w:r>
      <w:proofErr w:type="spellStart"/>
      <w:r w:rsidR="008853AD" w:rsidRPr="006A0B70">
        <w:rPr>
          <w:i/>
        </w:rPr>
        <w:t>winterianus</w:t>
      </w:r>
      <w:proofErr w:type="spellEnd"/>
      <w:r w:rsidR="008853AD">
        <w:t xml:space="preserve">; </w:t>
      </w:r>
      <w:proofErr w:type="spellStart"/>
      <w:r w:rsidR="008853AD">
        <w:t>lemongrass</w:t>
      </w:r>
      <w:proofErr w:type="spellEnd"/>
      <w:r w:rsidR="008853AD">
        <w:t xml:space="preserve">: </w:t>
      </w:r>
      <w:r w:rsidR="006A0B70" w:rsidRPr="006A0B70">
        <w:rPr>
          <w:i/>
        </w:rPr>
        <w:t xml:space="preserve">C. </w:t>
      </w:r>
      <w:r w:rsidR="008853AD" w:rsidRPr="006A0B70">
        <w:rPr>
          <w:i/>
        </w:rPr>
        <w:t>flexuosos</w:t>
      </w:r>
      <w:r w:rsidR="006A0B70">
        <w:t xml:space="preserve"> y </w:t>
      </w:r>
      <w:proofErr w:type="spellStart"/>
      <w:r w:rsidR="006A0B70">
        <w:t>Palmarosa</w:t>
      </w:r>
      <w:proofErr w:type="spellEnd"/>
      <w:r w:rsidR="006A0B70">
        <w:t xml:space="preserve">: </w:t>
      </w:r>
      <w:r w:rsidR="006A0B70" w:rsidRPr="006A0B70">
        <w:rPr>
          <w:i/>
        </w:rPr>
        <w:t xml:space="preserve">C. </w:t>
      </w:r>
      <w:proofErr w:type="spellStart"/>
      <w:r w:rsidR="006A0B70" w:rsidRPr="006A0B70">
        <w:rPr>
          <w:i/>
        </w:rPr>
        <w:t>Martinii</w:t>
      </w:r>
      <w:proofErr w:type="spellEnd"/>
      <w:r w:rsidR="006A0B70">
        <w:t xml:space="preserve">) (AEC, AEL y AEP, respectivamente) y su relación con los componentes que los constituyen determinado por medio de cromatografía gaseosa acoplada a espectro de masa. Para la determinación de la composición química de los aceites esenciales se realizó por medio de inyección de los mismos en un cromatógrafo gaseoso acoplado a espectro de masa y se utilizaron estándares de componentes y base de datos NIST para su identificación. La determinación de fenoles totales se realizó mediante la técnica de </w:t>
      </w:r>
      <w:proofErr w:type="spellStart"/>
      <w:r w:rsidR="006A0B70">
        <w:t>folin-cicolteau</w:t>
      </w:r>
      <w:proofErr w:type="spellEnd"/>
      <w:r w:rsidR="006A0B70">
        <w:t xml:space="preserve"> a partir de 10ul de cada aceite esencial. En cuanto al contenido de </w:t>
      </w:r>
      <w:r w:rsidR="00AD1C17">
        <w:t xml:space="preserve">fenoles totales se obtuvieron los valores de 119,8, 15,7, 11,7 y 13,3 µg/ml de equivalentes de ácido </w:t>
      </w:r>
      <w:r w:rsidR="009F0193">
        <w:t>gálico</w:t>
      </w:r>
      <w:r w:rsidR="00AD1C17">
        <w:t xml:space="preserve"> para AEA, AEC, AEL y AEP, respectivamente; estos datos evidencian que presentan actividad antioxidante. Los principales componentes en el AEA fueron </w:t>
      </w:r>
      <w:proofErr w:type="spellStart"/>
      <w:r w:rsidR="00AD1C17">
        <w:t>linalool</w:t>
      </w:r>
      <w:proofErr w:type="spellEnd"/>
      <w:r w:rsidR="00AD1C17">
        <w:t xml:space="preserve">, </w:t>
      </w:r>
      <w:proofErr w:type="spellStart"/>
      <w:r w:rsidR="00AD1C17">
        <w:t>eugenol</w:t>
      </w:r>
      <w:proofErr w:type="spellEnd"/>
      <w:r w:rsidR="00AD1C17">
        <w:t xml:space="preserve"> y </w:t>
      </w:r>
      <w:proofErr w:type="spellStart"/>
      <w:r w:rsidR="00AD1C17">
        <w:t>eucaliptol</w:t>
      </w:r>
      <w:proofErr w:type="spellEnd"/>
      <w:r w:rsidR="00AD1C17">
        <w:t xml:space="preserve"> (41,9, 20,1 y 8,4%, respectivamente), para AEC fueron </w:t>
      </w:r>
      <w:proofErr w:type="spellStart"/>
      <w:r w:rsidR="00033BBA">
        <w:t>citronelal</w:t>
      </w:r>
      <w:proofErr w:type="spellEnd"/>
      <w:r w:rsidR="00033BBA">
        <w:t xml:space="preserve">, </w:t>
      </w:r>
      <w:proofErr w:type="spellStart"/>
      <w:r w:rsidR="00033BBA">
        <w:t>cis-geraniol</w:t>
      </w:r>
      <w:proofErr w:type="spellEnd"/>
      <w:r w:rsidR="00033BBA">
        <w:t xml:space="preserve"> y β-</w:t>
      </w:r>
      <w:proofErr w:type="spellStart"/>
      <w:r w:rsidR="00033BBA">
        <w:t>citronelol</w:t>
      </w:r>
      <w:proofErr w:type="spellEnd"/>
      <w:r w:rsidR="00033BBA">
        <w:t xml:space="preserve"> (38,7, 19,1, 18,0%, respectivamente); en cuanto al AEL fueron α-</w:t>
      </w:r>
      <w:proofErr w:type="spellStart"/>
      <w:r w:rsidR="00033BBA">
        <w:t>citral</w:t>
      </w:r>
      <w:proofErr w:type="spellEnd"/>
      <w:r w:rsidR="00033BBA">
        <w:t>, β-</w:t>
      </w:r>
      <w:proofErr w:type="spellStart"/>
      <w:r w:rsidR="00033BBA">
        <w:t>citral</w:t>
      </w:r>
      <w:proofErr w:type="spellEnd"/>
      <w:r w:rsidR="00033BBA">
        <w:t xml:space="preserve"> y β-</w:t>
      </w:r>
      <w:proofErr w:type="spellStart"/>
      <w:r w:rsidR="00033BBA">
        <w:t>mirceno</w:t>
      </w:r>
      <w:proofErr w:type="spellEnd"/>
      <w:r w:rsidR="00033BBA">
        <w:t xml:space="preserve"> (33,7, 29,4 y 10,9%, respectivamente) y el AEP presento </w:t>
      </w:r>
      <w:proofErr w:type="spellStart"/>
      <w:r w:rsidR="00033BBA">
        <w:t>cis-geraniol</w:t>
      </w:r>
      <w:proofErr w:type="spellEnd"/>
      <w:r w:rsidR="00033BBA">
        <w:t xml:space="preserve">, </w:t>
      </w:r>
      <w:proofErr w:type="spellStart"/>
      <w:r w:rsidR="00033BBA">
        <w:t>citronelal</w:t>
      </w:r>
      <w:proofErr w:type="spellEnd"/>
      <w:r w:rsidR="00033BBA">
        <w:t xml:space="preserve"> y β-</w:t>
      </w:r>
      <w:proofErr w:type="spellStart"/>
      <w:r w:rsidR="00033BBA">
        <w:t>citronelol</w:t>
      </w:r>
      <w:proofErr w:type="spellEnd"/>
      <w:r w:rsidR="00033BBA">
        <w:t xml:space="preserve"> (52,7, 11,2 y 9,4%, respectivamente). Estas moléculas </w:t>
      </w:r>
      <w:r w:rsidR="00033BBA">
        <w:lastRenderedPageBreak/>
        <w:t xml:space="preserve">principales de los aceites esenciales han sido reportadas en investigaciones de componentes con actividad antioxidante. Los resultados indican potencial actividad antioxidante en los aceites esenciales ensayados por lo que se debería continuar la exploración con ensayos directos de oxidación como por ejemplo el uso de modelos lipídicos como los aceites vegetales en condiciones aceleradas para determinar </w:t>
      </w:r>
      <w:r w:rsidR="009F0193">
        <w:t>la</w:t>
      </w:r>
      <w:r w:rsidR="00033BBA">
        <w:t xml:space="preserve"> capacidad antioxidante</w:t>
      </w:r>
      <w:r w:rsidR="009F0193">
        <w:t xml:space="preserve"> de los aceites esenciales ensayados</w:t>
      </w:r>
      <w:r w:rsidR="00033BBA">
        <w:t xml:space="preserve">. </w:t>
      </w:r>
    </w:p>
    <w:p w:rsidR="00933EBB" w:rsidRDefault="00933EBB" w:rsidP="009F0193">
      <w:pPr>
        <w:spacing w:after="0" w:line="240" w:lineRule="auto"/>
        <w:ind w:leftChars="0" w:left="0" w:firstLineChars="0" w:firstLine="0"/>
      </w:pPr>
    </w:p>
    <w:p w:rsidR="002057E7" w:rsidRDefault="002057E7" w:rsidP="002057E7">
      <w:pPr>
        <w:spacing w:after="0" w:line="240" w:lineRule="auto"/>
        <w:ind w:left="0" w:hanging="2"/>
      </w:pPr>
      <w:r>
        <w:t xml:space="preserve">Palabras Clave: </w:t>
      </w:r>
      <w:r w:rsidR="009F0193">
        <w:t>capacidad antioxidante, componentes naturales, alimentos</w:t>
      </w:r>
      <w:r>
        <w:t>.</w:t>
      </w:r>
    </w:p>
    <w:p w:rsidR="00AD05C1" w:rsidRDefault="00AD05C1" w:rsidP="00F6434C">
      <w:pPr>
        <w:spacing w:after="0" w:line="240" w:lineRule="auto"/>
        <w:ind w:leftChars="0" w:left="0" w:firstLineChars="0" w:firstLine="0"/>
      </w:pPr>
    </w:p>
    <w:sectPr w:rsidR="00AD05C1">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387" w:rsidRDefault="00C56387">
      <w:pPr>
        <w:spacing w:after="0" w:line="240" w:lineRule="auto"/>
        <w:ind w:left="0" w:hanging="2"/>
      </w:pPr>
      <w:r>
        <w:separator/>
      </w:r>
    </w:p>
  </w:endnote>
  <w:endnote w:type="continuationSeparator" w:id="0">
    <w:p w:rsidR="00C56387" w:rsidRDefault="00C563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14" w:rsidRDefault="00542814" w:rsidP="00542814">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14" w:rsidRDefault="00542814" w:rsidP="00542814">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14" w:rsidRDefault="00542814" w:rsidP="00542814">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387" w:rsidRDefault="00C56387">
      <w:pPr>
        <w:spacing w:after="0" w:line="240" w:lineRule="auto"/>
        <w:ind w:left="0" w:hanging="2"/>
      </w:pPr>
      <w:r>
        <w:separator/>
      </w:r>
    </w:p>
  </w:footnote>
  <w:footnote w:type="continuationSeparator" w:id="0">
    <w:p w:rsidR="00C56387" w:rsidRDefault="00C5638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14" w:rsidRDefault="00542814" w:rsidP="00542814">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C1" w:rsidRDefault="008E491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14" w:rsidRDefault="00542814" w:rsidP="00542814">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C1"/>
    <w:rsid w:val="00004FA9"/>
    <w:rsid w:val="00033BBA"/>
    <w:rsid w:val="000B5C07"/>
    <w:rsid w:val="00142C03"/>
    <w:rsid w:val="00182B03"/>
    <w:rsid w:val="001B0341"/>
    <w:rsid w:val="002057E7"/>
    <w:rsid w:val="002308E1"/>
    <w:rsid w:val="00233C8F"/>
    <w:rsid w:val="00242F51"/>
    <w:rsid w:val="00244209"/>
    <w:rsid w:val="00257822"/>
    <w:rsid w:val="00292061"/>
    <w:rsid w:val="002D35F3"/>
    <w:rsid w:val="0034183C"/>
    <w:rsid w:val="00381BB4"/>
    <w:rsid w:val="003C6E9E"/>
    <w:rsid w:val="00417A78"/>
    <w:rsid w:val="004859BA"/>
    <w:rsid w:val="004D0F3D"/>
    <w:rsid w:val="00540893"/>
    <w:rsid w:val="00542814"/>
    <w:rsid w:val="00567908"/>
    <w:rsid w:val="005B089A"/>
    <w:rsid w:val="005B0B43"/>
    <w:rsid w:val="005E51DB"/>
    <w:rsid w:val="00652747"/>
    <w:rsid w:val="00683EA8"/>
    <w:rsid w:val="006A0B70"/>
    <w:rsid w:val="006E1B4A"/>
    <w:rsid w:val="00762931"/>
    <w:rsid w:val="00773D96"/>
    <w:rsid w:val="00774D65"/>
    <w:rsid w:val="00783578"/>
    <w:rsid w:val="00796C73"/>
    <w:rsid w:val="007B7FC5"/>
    <w:rsid w:val="007C0F28"/>
    <w:rsid w:val="007D16CA"/>
    <w:rsid w:val="007D2180"/>
    <w:rsid w:val="007F56D5"/>
    <w:rsid w:val="00803326"/>
    <w:rsid w:val="008853AD"/>
    <w:rsid w:val="008874D5"/>
    <w:rsid w:val="008E315F"/>
    <w:rsid w:val="008E4917"/>
    <w:rsid w:val="00903250"/>
    <w:rsid w:val="00904246"/>
    <w:rsid w:val="00907DE7"/>
    <w:rsid w:val="00922F8A"/>
    <w:rsid w:val="0093040A"/>
    <w:rsid w:val="00933EBB"/>
    <w:rsid w:val="009C2EB6"/>
    <w:rsid w:val="009F0193"/>
    <w:rsid w:val="009F2E7D"/>
    <w:rsid w:val="009F4210"/>
    <w:rsid w:val="009F5478"/>
    <w:rsid w:val="00A05BF9"/>
    <w:rsid w:val="00A37D87"/>
    <w:rsid w:val="00A447DB"/>
    <w:rsid w:val="00A510E6"/>
    <w:rsid w:val="00AA4A5C"/>
    <w:rsid w:val="00AB790F"/>
    <w:rsid w:val="00AD05C1"/>
    <w:rsid w:val="00AD1C17"/>
    <w:rsid w:val="00B55EE3"/>
    <w:rsid w:val="00B57926"/>
    <w:rsid w:val="00BF1CAB"/>
    <w:rsid w:val="00C328BD"/>
    <w:rsid w:val="00C44202"/>
    <w:rsid w:val="00C44A6F"/>
    <w:rsid w:val="00C56387"/>
    <w:rsid w:val="00C63956"/>
    <w:rsid w:val="00CA4CBF"/>
    <w:rsid w:val="00CD2CBC"/>
    <w:rsid w:val="00CE5726"/>
    <w:rsid w:val="00D12B5C"/>
    <w:rsid w:val="00D218A0"/>
    <w:rsid w:val="00D57B1B"/>
    <w:rsid w:val="00D60661"/>
    <w:rsid w:val="00D6528C"/>
    <w:rsid w:val="00DD6F35"/>
    <w:rsid w:val="00E16A2C"/>
    <w:rsid w:val="00E32DB7"/>
    <w:rsid w:val="00E44084"/>
    <w:rsid w:val="00E45295"/>
    <w:rsid w:val="00E72687"/>
    <w:rsid w:val="00EB181C"/>
    <w:rsid w:val="00EB6169"/>
    <w:rsid w:val="00F34216"/>
    <w:rsid w:val="00F46D7B"/>
    <w:rsid w:val="00F6434C"/>
    <w:rsid w:val="00F8312F"/>
    <w:rsid w:val="00F90BAD"/>
    <w:rsid w:val="00F954FD"/>
    <w:rsid w:val="00FA20AC"/>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 w:type="paragraph" w:styleId="Sinespaciado">
    <w:name w:val="No Spacing"/>
    <w:uiPriority w:val="1"/>
    <w:qFormat/>
    <w:rsid w:val="009F0193"/>
    <w:pPr>
      <w:suppressAutoHyphens/>
      <w:spacing w:after="0" w:line="240" w:lineRule="auto"/>
      <w:ind w:leftChars="-1" w:left="-1" w:hangingChars="1" w:hanging="1"/>
      <w:textDirection w:val="btLr"/>
      <w:textAlignment w:val="top"/>
      <w:outlineLvl w:val="0"/>
    </w:pPr>
    <w:rPr>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 w:type="paragraph" w:styleId="Sinespaciado">
    <w:name w:val="No Spacing"/>
    <w:uiPriority w:val="1"/>
    <w:qFormat/>
    <w:rsid w:val="009F0193"/>
    <w:pPr>
      <w:suppressAutoHyphens/>
      <w:spacing w:after="0" w:line="240" w:lineRule="auto"/>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C8C738-D9C6-4332-BB37-9A97D4D2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2022-08-20T14:11:00Z</dcterms:created>
  <dcterms:modified xsi:type="dcterms:W3CDTF">2022-08-20T14:11:00Z</dcterms:modified>
</cp:coreProperties>
</file>