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43" w:rsidRDefault="00E92EA6">
      <w:pPr>
        <w:spacing w:after="0" w:line="240" w:lineRule="auto"/>
        <w:ind w:left="0" w:hanging="2"/>
        <w:contextualSpacing/>
        <w:jc w:val="center"/>
        <w:rPr>
          <w:b/>
        </w:rPr>
      </w:pPr>
      <w:r>
        <w:rPr>
          <w:b/>
        </w:rPr>
        <w:t xml:space="preserve">Actividad antifúngica de extractos del género </w:t>
      </w:r>
      <w:r>
        <w:rPr>
          <w:b/>
          <w:i/>
        </w:rPr>
        <w:t xml:space="preserve">Justicia </w:t>
      </w:r>
      <w:r>
        <w:rPr>
          <w:b/>
        </w:rPr>
        <w:t>sobre hongos causantes de podredumbre de la mazorca</w:t>
      </w:r>
    </w:p>
    <w:p w:rsidR="00202E43" w:rsidRDefault="00202E43">
      <w:pPr>
        <w:spacing w:after="0" w:line="240" w:lineRule="auto"/>
        <w:ind w:left="0" w:hanging="2"/>
        <w:jc w:val="center"/>
      </w:pPr>
    </w:p>
    <w:p w:rsidR="00202E43" w:rsidRPr="00927B6C" w:rsidRDefault="00E92EA6">
      <w:pPr>
        <w:spacing w:after="0" w:line="240" w:lineRule="auto"/>
        <w:ind w:left="0" w:hanging="2"/>
        <w:jc w:val="center"/>
      </w:pPr>
      <w:proofErr w:type="spellStart"/>
      <w:r>
        <w:t>Sanchez</w:t>
      </w:r>
      <w:proofErr w:type="spellEnd"/>
      <w:r>
        <w:t xml:space="preserve"> </w:t>
      </w:r>
      <w:proofErr w:type="spellStart"/>
      <w:r>
        <w:t>Matias</w:t>
      </w:r>
      <w:proofErr w:type="spellEnd"/>
      <w:r>
        <w:t xml:space="preserve"> </w:t>
      </w:r>
      <w:r w:rsidRPr="00927B6C">
        <w:t xml:space="preserve">MH (1), </w:t>
      </w:r>
      <w:r>
        <w:t xml:space="preserve">Jiménez </w:t>
      </w:r>
      <w:r w:rsidRPr="00927B6C">
        <w:t xml:space="preserve">CM (1), </w:t>
      </w:r>
      <w:r>
        <w:t xml:space="preserve">Gómez </w:t>
      </w:r>
      <w:r w:rsidRPr="00927B6C">
        <w:t xml:space="preserve">AA (1), </w:t>
      </w:r>
      <w:proofErr w:type="spellStart"/>
      <w:r>
        <w:t>Aristimuño</w:t>
      </w:r>
      <w:proofErr w:type="spellEnd"/>
      <w:r>
        <w:t xml:space="preserve"> </w:t>
      </w:r>
      <w:proofErr w:type="spellStart"/>
      <w:r>
        <w:t>Ficoseco</w:t>
      </w:r>
      <w:proofErr w:type="spellEnd"/>
      <w:r>
        <w:t xml:space="preserve"> </w:t>
      </w:r>
      <w:r w:rsidRPr="00927B6C">
        <w:t xml:space="preserve">ME (1), </w:t>
      </w:r>
      <w:proofErr w:type="spellStart"/>
      <w:r>
        <w:t>Sampietro</w:t>
      </w:r>
      <w:proofErr w:type="spellEnd"/>
      <w:r>
        <w:t xml:space="preserve"> </w:t>
      </w:r>
      <w:r w:rsidRPr="00927B6C">
        <w:t>DA (1)</w:t>
      </w:r>
    </w:p>
    <w:p w:rsidR="00202E43" w:rsidRDefault="00202E43">
      <w:pPr>
        <w:spacing w:after="0" w:line="240" w:lineRule="auto"/>
        <w:ind w:left="0" w:hanging="2"/>
        <w:jc w:val="left"/>
      </w:pPr>
    </w:p>
    <w:p w:rsidR="00202E43" w:rsidRDefault="00E92EA6">
      <w:pPr>
        <w:spacing w:line="240" w:lineRule="auto"/>
        <w:ind w:left="0" w:hanging="2"/>
      </w:pPr>
      <w:r w:rsidRPr="00927B6C">
        <w:t xml:space="preserve">(1) Universidad </w:t>
      </w:r>
      <w:r>
        <w:t>Nacional de Tucumán, Facultad de Bioquímica, Química y Farmacia, Ayacucho 471, San Miguel de Tucumán, Tucumán, Argentina.</w:t>
      </w:r>
    </w:p>
    <w:p w:rsidR="00202E43" w:rsidRDefault="00E92EA6">
      <w:pPr>
        <w:spacing w:after="0" w:line="240" w:lineRule="auto"/>
        <w:ind w:left="0" w:hanging="2"/>
      </w:pPr>
      <w:r>
        <w:t>sanchezmatiasmariana@gmail.com</w:t>
      </w:r>
    </w:p>
    <w:p w:rsidR="00202E43" w:rsidRDefault="00E92EA6">
      <w:pPr>
        <w:tabs>
          <w:tab w:val="left" w:pos="7185"/>
        </w:tabs>
        <w:spacing w:after="0" w:line="240" w:lineRule="auto"/>
        <w:ind w:left="0" w:hanging="2"/>
        <w:jc w:val="left"/>
      </w:pPr>
      <w:r>
        <w:tab/>
      </w:r>
    </w:p>
    <w:p w:rsidR="00202E43" w:rsidRPr="002B6B05" w:rsidRDefault="00E92EA6">
      <w:pPr>
        <w:spacing w:after="0" w:line="240" w:lineRule="auto"/>
        <w:ind w:left="0" w:hanging="2"/>
      </w:pPr>
      <w:r>
        <w:rPr>
          <w:bCs/>
          <w:i/>
        </w:rPr>
        <w:t xml:space="preserve">Fusarium </w:t>
      </w:r>
      <w:r w:rsidRPr="00927B6C">
        <w:rPr>
          <w:bCs/>
          <w:i/>
        </w:rPr>
        <w:t>graminearum</w:t>
      </w:r>
      <w:r w:rsidRPr="00927B6C">
        <w:rPr>
          <w:bCs/>
        </w:rPr>
        <w:t xml:space="preserve"> y </w:t>
      </w:r>
      <w:r w:rsidRPr="00927B6C">
        <w:rPr>
          <w:bCs/>
          <w:i/>
        </w:rPr>
        <w:t>Fusarium verticillioides</w:t>
      </w:r>
      <w:r w:rsidRPr="00927B6C">
        <w:rPr>
          <w:bCs/>
        </w:rPr>
        <w:t xml:space="preserve"> </w:t>
      </w:r>
      <w:r>
        <w:rPr>
          <w:bCs/>
        </w:rPr>
        <w:t xml:space="preserve">son importantes agentes etiológicos de podredumbres de mazorca en el NOA. Ellos reducen el rendimiento en granos y </w:t>
      </w:r>
      <w:r>
        <w:rPr>
          <w:bCs/>
          <w:iCs/>
        </w:rPr>
        <w:t xml:space="preserve">los contaminan con micotoxinas </w:t>
      </w:r>
      <w:r>
        <w:rPr>
          <w:bCs/>
        </w:rPr>
        <w:t xml:space="preserve">tóxicas para humanos y animales. </w:t>
      </w:r>
      <w:r>
        <w:t xml:space="preserve">El control químico es una de las estrategias empleadas en el manejo de estos hongos a campo y durante el almacenamiento de los granos. Actualmente se requieren moléculas alternativas a los agentes antifúngicos existentes. Metabolitos secundarios producidos por plantas del género </w:t>
      </w:r>
      <w:r>
        <w:rPr>
          <w:i/>
        </w:rPr>
        <w:t xml:space="preserve">Justicia </w:t>
      </w:r>
      <w:r>
        <w:t xml:space="preserve">(Acantaceae) nativas del norte argentino podrían brindar soluciones a estos problemas. Especies de </w:t>
      </w:r>
      <w:r>
        <w:rPr>
          <w:i/>
        </w:rPr>
        <w:t>Justicia</w:t>
      </w:r>
      <w:r>
        <w:t xml:space="preserve"> de otras partes del mundo demostraron contener compuestos fenólicos antifúngicos tanto sobre hongos levaduriformes como filamentosos. El objetivo de este trabajo fue identificar </w:t>
      </w:r>
      <w:r>
        <w:rPr>
          <w:i/>
        </w:rPr>
        <w:t>in vitro</w:t>
      </w:r>
      <w:r>
        <w:t xml:space="preserve"> extractos del género </w:t>
      </w:r>
      <w:r>
        <w:rPr>
          <w:i/>
        </w:rPr>
        <w:t xml:space="preserve">Justicia </w:t>
      </w:r>
      <w:r>
        <w:rPr>
          <w:iCs/>
        </w:rPr>
        <w:t xml:space="preserve">nativas del norte argentino </w:t>
      </w:r>
      <w:r>
        <w:t xml:space="preserve">con actividad antifúngica sobre </w:t>
      </w:r>
      <w:r>
        <w:rPr>
          <w:i/>
          <w:iCs/>
        </w:rPr>
        <w:t>F. graminearum</w:t>
      </w:r>
      <w:r>
        <w:t xml:space="preserve"> y </w:t>
      </w:r>
      <w:r>
        <w:rPr>
          <w:i/>
        </w:rPr>
        <w:t>F. verticillioides</w:t>
      </w:r>
      <w:r w:rsidR="00927B6C">
        <w:t xml:space="preserve">, y </w:t>
      </w:r>
      <w:r w:rsidR="00927B6C">
        <w:rPr>
          <w:lang w:val="es-ES"/>
        </w:rPr>
        <w:t>aislar</w:t>
      </w:r>
      <w:r>
        <w:rPr>
          <w:lang w:val="es-ES"/>
        </w:rPr>
        <w:t xml:space="preserve"> principios activos responsables.</w:t>
      </w:r>
      <w:r>
        <w:rPr>
          <w:bCs/>
        </w:rPr>
        <w:t xml:space="preserve"> Hojas y tallos de </w:t>
      </w:r>
      <w:r>
        <w:rPr>
          <w:i/>
          <w:shd w:val="clear" w:color="auto" w:fill="FFFFFF"/>
        </w:rPr>
        <w:t>Justicia xylosteoides, J</w:t>
      </w:r>
      <w:r w:rsidRPr="00927B6C">
        <w:rPr>
          <w:i/>
          <w:shd w:val="clear" w:color="auto" w:fill="FFFFFF"/>
        </w:rPr>
        <w:t xml:space="preserve">usticia tweediana, Justicia jujuyensis, Justicia goudotii </w:t>
      </w:r>
      <w:r w:rsidRPr="00927B6C">
        <w:rPr>
          <w:shd w:val="clear" w:color="auto" w:fill="FFFFFF"/>
        </w:rPr>
        <w:t>y</w:t>
      </w:r>
      <w:r w:rsidRPr="00927B6C">
        <w:rPr>
          <w:i/>
          <w:shd w:val="clear" w:color="auto" w:fill="FFFFFF"/>
        </w:rPr>
        <w:t xml:space="preserve"> Justicia lilloi </w:t>
      </w:r>
      <w:r w:rsidRPr="00927B6C">
        <w:rPr>
          <w:shd w:val="clear" w:color="auto" w:fill="FFFFFF"/>
        </w:rPr>
        <w:t>se</w:t>
      </w:r>
      <w:r w:rsidRPr="00927B6C">
        <w:t xml:space="preserve"> colectaron en las provincias de Salta y Tucumán.</w:t>
      </w:r>
      <w:r>
        <w:t xml:space="preserve"> Las hojas y los tallos se separaron, y luego se secaron y pulverizaron. Los polvos se extrajeron secuencialmente con diclorometano, acetato de etilo y metanol. Los extractos orgánicos se evaporaron a sequedad, y se ensayaron mediante método de difusión desde disco, en dosis de 2 mg materia seca/disco. Se prepararon céspedes fúngicos por extensión de 50 </w:t>
      </w:r>
      <w:proofErr w:type="spellStart"/>
      <w:r>
        <w:t>uL</w:t>
      </w:r>
      <w:proofErr w:type="spellEnd"/>
      <w:r>
        <w:t xml:space="preserve"> de 10</w:t>
      </w:r>
      <w:r>
        <w:rPr>
          <w:vertAlign w:val="superscript"/>
        </w:rPr>
        <w:t>3</w:t>
      </w:r>
      <w:r>
        <w:t xml:space="preserve"> esporas/ml en cajas de Petri con medio YES (extracto levadura-sacarosa-agar), que se incubaron en oscuridad durante 72 </w:t>
      </w:r>
      <w:proofErr w:type="spellStart"/>
      <w:r>
        <w:t>hs</w:t>
      </w:r>
      <w:proofErr w:type="spellEnd"/>
      <w:r>
        <w:t xml:space="preserve"> a 25ºC. De los extractos ensayados, solo 5 generaron halos de inhibición. Todos pertenecían a </w:t>
      </w:r>
      <w:r w:rsidRPr="00927B6C">
        <w:rPr>
          <w:i/>
        </w:rPr>
        <w:t>J</w:t>
      </w:r>
      <w:r w:rsidR="00927B6C" w:rsidRPr="00927B6C">
        <w:rPr>
          <w:i/>
        </w:rPr>
        <w:t>usticia</w:t>
      </w:r>
      <w:r w:rsidR="00927B6C">
        <w:rPr>
          <w:i/>
        </w:rPr>
        <w:t xml:space="preserve"> </w:t>
      </w:r>
      <w:r>
        <w:rPr>
          <w:i/>
        </w:rPr>
        <w:t>xylosteoides</w:t>
      </w:r>
      <w:r>
        <w:t xml:space="preserve"> y afectaron a </w:t>
      </w:r>
      <w:r>
        <w:rPr>
          <w:i/>
        </w:rPr>
        <w:t>F. graminearum</w:t>
      </w:r>
      <w:r>
        <w:t xml:space="preserve"> (extractos diclorometano foliar, acetato de etilo foliar y caulinar, y metanólico foliar) y a </w:t>
      </w:r>
      <w:r>
        <w:rPr>
          <w:i/>
        </w:rPr>
        <w:t>F. verticillioides</w:t>
      </w:r>
      <w:r>
        <w:t xml:space="preserve"> (extractos metanólicos </w:t>
      </w:r>
      <w:r w:rsidR="002B6B05">
        <w:t>f</w:t>
      </w:r>
      <w:r>
        <w:t>oliar</w:t>
      </w:r>
      <w:r w:rsidR="002B6B05">
        <w:t xml:space="preserve"> y caulinar</w:t>
      </w:r>
      <w:r>
        <w:t>). El extracto foliar diclorometano (EFD) se sometió a cromatografía en minicolumna en silica gel eluída con cloroformo y cloroformo: metanol, 99:1 (v/v). Análisis en cromatografía en capa fina (CCF) y bioautográficos en medio semilíquido E</w:t>
      </w:r>
      <w:r w:rsidR="002B6B05">
        <w:t>PM</w:t>
      </w:r>
      <w:r>
        <w:t xml:space="preserve"> (extracto de malta-peptona-sacarosa-agar) de las fracciones recuperadas indicaron la presencia de tres constituyentes antifúngicos sobre </w:t>
      </w:r>
      <w:r>
        <w:rPr>
          <w:i/>
        </w:rPr>
        <w:t>F. graminearum</w:t>
      </w:r>
      <w:r>
        <w:t xml:space="preserve">, que en los bioautogramas presentaron relaciones de frente 0,36, 0,60 y 0,90. Conclusión: </w:t>
      </w:r>
      <w:r w:rsidRPr="002B6B05">
        <w:t xml:space="preserve">De los 30 extractos ensayados, sólo 5 pertenecientes a </w:t>
      </w:r>
      <w:r w:rsidRPr="002B6B05">
        <w:rPr>
          <w:i/>
        </w:rPr>
        <w:t>Justicia</w:t>
      </w:r>
      <w:r w:rsidRPr="002B6B05">
        <w:t xml:space="preserve"> </w:t>
      </w:r>
      <w:r w:rsidRPr="002B6B05">
        <w:rPr>
          <w:i/>
          <w:shd w:val="clear" w:color="auto" w:fill="FFFFFF"/>
        </w:rPr>
        <w:t>xylosteoides</w:t>
      </w:r>
      <w:r w:rsidRPr="002B6B05">
        <w:t xml:space="preserve"> demostraron actividad antifúngica sobre </w:t>
      </w:r>
      <w:r w:rsidRPr="002B6B05">
        <w:rPr>
          <w:i/>
          <w:iCs/>
        </w:rPr>
        <w:t>F. graminearum</w:t>
      </w:r>
      <w:r w:rsidRPr="002B6B05">
        <w:t xml:space="preserve"> y </w:t>
      </w:r>
      <w:r w:rsidRPr="002B6B05">
        <w:rPr>
          <w:i/>
        </w:rPr>
        <w:t>F. verticillioides</w:t>
      </w:r>
      <w:r w:rsidR="002B6B05">
        <w:rPr>
          <w:i/>
        </w:rPr>
        <w:t xml:space="preserve">. </w:t>
      </w:r>
      <w:r w:rsidRPr="002B6B05">
        <w:t>Uno de los extractos activos, el EFD, presentó al menos tres constituyentes con pro</w:t>
      </w:r>
      <w:bookmarkStart w:id="0" w:name="_GoBack"/>
      <w:bookmarkEnd w:id="0"/>
      <w:r w:rsidRPr="002B6B05">
        <w:t>piedades antifúngicas.</w:t>
      </w:r>
      <w:r w:rsidRPr="002B6B05">
        <w:rPr>
          <w:i/>
        </w:rPr>
        <w:t xml:space="preserve"> </w:t>
      </w:r>
      <w:r w:rsidRPr="002B6B05">
        <w:t>Se continuará trabajando en el aislamiento e identificación de estos principios bioactivos.</w:t>
      </w:r>
    </w:p>
    <w:p w:rsidR="00202E43" w:rsidRDefault="00202E43">
      <w:pPr>
        <w:spacing w:after="0" w:line="240" w:lineRule="auto"/>
        <w:ind w:left="0" w:hanging="2"/>
      </w:pPr>
    </w:p>
    <w:p w:rsidR="00202E43" w:rsidRDefault="00E92EA6">
      <w:pPr>
        <w:spacing w:after="0" w:line="240" w:lineRule="auto"/>
        <w:ind w:left="0" w:hanging="2"/>
      </w:pPr>
      <w:r>
        <w:t xml:space="preserve">Palabras Clave: </w:t>
      </w:r>
      <w:r>
        <w:rPr>
          <w:i/>
          <w:iCs/>
        </w:rPr>
        <w:t>Fusarium graminearum</w:t>
      </w:r>
      <w:r>
        <w:t xml:space="preserve">, </w:t>
      </w:r>
      <w:r>
        <w:rPr>
          <w:i/>
          <w:iCs/>
        </w:rPr>
        <w:t xml:space="preserve">Justicia xylosteoides, </w:t>
      </w:r>
      <w:r>
        <w:t>metabolitos secundarios.</w:t>
      </w:r>
    </w:p>
    <w:p w:rsidR="00202E43" w:rsidRDefault="00202E43">
      <w:pPr>
        <w:spacing w:after="0" w:line="240" w:lineRule="auto"/>
        <w:ind w:left="0" w:hanging="2"/>
      </w:pPr>
    </w:p>
    <w:sectPr w:rsidR="00202E43">
      <w:headerReference w:type="default" r:id="rId7"/>
      <w:footerReference w:type="default" r:id="rId8"/>
      <w:pgSz w:w="11906" w:h="16838"/>
      <w:pgMar w:top="1416" w:right="1701" w:bottom="1416" w:left="1701" w:header="794" w:footer="79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4D" w:rsidRDefault="008B624D">
      <w:pPr>
        <w:spacing w:after="0" w:line="240" w:lineRule="auto"/>
      </w:pPr>
      <w:r>
        <w:separator/>
      </w:r>
    </w:p>
  </w:endnote>
  <w:endnote w:type="continuationSeparator" w:id="0">
    <w:p w:rsidR="008B624D" w:rsidRDefault="008B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43" w:rsidRDefault="00202E4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4D" w:rsidRDefault="008B624D">
      <w:pPr>
        <w:spacing w:after="0" w:line="240" w:lineRule="auto"/>
      </w:pPr>
      <w:r>
        <w:separator/>
      </w:r>
    </w:p>
  </w:footnote>
  <w:footnote w:type="continuationSeparator" w:id="0">
    <w:p w:rsidR="008B624D" w:rsidRDefault="008B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43" w:rsidRDefault="00E92EA6">
    <w:pPr>
      <w:pBdr>
        <w:bottom w:val="single" w:sz="4" w:space="1" w:color="000000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noProof/>
        <w:color w:val="000000"/>
        <w:sz w:val="18"/>
        <w:szCs w:val="18"/>
        <w:highlight w:val="white"/>
        <w:lang w:val="en-U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43"/>
    <w:rsid w:val="00202E43"/>
    <w:rsid w:val="002B6B05"/>
    <w:rsid w:val="00614E58"/>
    <w:rsid w:val="006B6C7A"/>
    <w:rsid w:val="008B624D"/>
    <w:rsid w:val="00927B6C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BA4F0-0B64-4E45-BDEA-6B10551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  <w:ind w:left="-1" w:hanging="1"/>
      <w:jc w:val="both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90312"/>
    <w:pPr>
      <w:suppressAutoHyphens w:val="0"/>
      <w:ind w:left="720" w:firstLine="0"/>
      <w:contextualSpacing/>
      <w:jc w:val="left"/>
      <w:textAlignment w:val="auto"/>
    </w:pPr>
    <w:rPr>
      <w:rFonts w:ascii="Calibri" w:eastAsia="Calibri" w:hAnsi="Calibri" w:cs="Times New Roman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Mariana</cp:lastModifiedBy>
  <cp:revision>3</cp:revision>
  <dcterms:created xsi:type="dcterms:W3CDTF">2022-08-16T12:36:00Z</dcterms:created>
  <dcterms:modified xsi:type="dcterms:W3CDTF">2022-08-16T12:38:00Z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InKulpado666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