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9A12" w14:textId="77777777" w:rsidR="009C73E5" w:rsidRDefault="00204D67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Potencial de extracto de </w:t>
      </w:r>
      <w:r>
        <w:rPr>
          <w:b/>
          <w:i/>
          <w:iCs/>
          <w:color w:val="000000"/>
        </w:rPr>
        <w:t xml:space="preserve">Larrea </w:t>
      </w:r>
      <w:proofErr w:type="spellStart"/>
      <w:r>
        <w:rPr>
          <w:b/>
          <w:i/>
          <w:iCs/>
          <w:color w:val="000000"/>
        </w:rPr>
        <w:t>divaricata</w:t>
      </w:r>
      <w:proofErr w:type="spellEnd"/>
      <w:r>
        <w:rPr>
          <w:b/>
          <w:color w:val="000000"/>
        </w:rPr>
        <w:t xml:space="preserve"> como fitosanitario para el control de especies de </w:t>
      </w:r>
      <w:r>
        <w:rPr>
          <w:b/>
          <w:i/>
          <w:iCs/>
          <w:color w:val="000000"/>
        </w:rPr>
        <w:t>Fusarium</w:t>
      </w:r>
      <w:r>
        <w:rPr>
          <w:b/>
          <w:color w:val="000000"/>
        </w:rPr>
        <w:t xml:space="preserve"> patógenas de maíz y trigo</w:t>
      </w:r>
    </w:p>
    <w:p w14:paraId="291F9C94" w14:textId="77777777" w:rsidR="009C73E5" w:rsidRDefault="009C73E5">
      <w:pPr>
        <w:pStyle w:val="LO-normal"/>
        <w:spacing w:after="0" w:line="240" w:lineRule="auto"/>
        <w:jc w:val="center"/>
      </w:pPr>
    </w:p>
    <w:p w14:paraId="3CC69A94" w14:textId="1A5552CC" w:rsidR="009C73E5" w:rsidRDefault="00204D67">
      <w:pPr>
        <w:pStyle w:val="LO-normal"/>
        <w:spacing w:after="0" w:line="240" w:lineRule="auto"/>
        <w:jc w:val="center"/>
      </w:pPr>
      <w:r>
        <w:t>Jiménez CM</w:t>
      </w:r>
      <w:r w:rsidR="006B6DE5">
        <w:t xml:space="preserve"> (1)</w:t>
      </w:r>
      <w:r>
        <w:t xml:space="preserve">, </w:t>
      </w:r>
      <w:proofErr w:type="spellStart"/>
      <w:r>
        <w:t>Sanch</w:t>
      </w:r>
      <w:r w:rsidR="0025320A">
        <w:t>e</w:t>
      </w:r>
      <w:r>
        <w:t>z</w:t>
      </w:r>
      <w:proofErr w:type="spellEnd"/>
      <w:r w:rsidR="00D90AE8">
        <w:t xml:space="preserve"> Matías</w:t>
      </w:r>
      <w:r>
        <w:t xml:space="preserve"> M</w:t>
      </w:r>
      <w:r w:rsidR="006F5CB3">
        <w:t>H</w:t>
      </w:r>
      <w:r w:rsidR="006B6DE5">
        <w:t xml:space="preserve"> (1)</w:t>
      </w:r>
      <w:r w:rsidR="006F5CB3">
        <w:t xml:space="preserve">, </w:t>
      </w:r>
      <w:r w:rsidR="007845AB">
        <w:t>Gómez AA</w:t>
      </w:r>
      <w:r w:rsidR="006B6DE5">
        <w:t xml:space="preserve"> (1)</w:t>
      </w:r>
      <w:r w:rsidR="007845AB">
        <w:t xml:space="preserve">, </w:t>
      </w:r>
      <w:proofErr w:type="spellStart"/>
      <w:r w:rsidR="006F5CB3">
        <w:t>Sgariglia</w:t>
      </w:r>
      <w:proofErr w:type="spellEnd"/>
      <w:r w:rsidR="006F5CB3">
        <w:t xml:space="preserve"> MA</w:t>
      </w:r>
      <w:r w:rsidR="006B6DE5">
        <w:t xml:space="preserve"> (1)</w:t>
      </w:r>
      <w:r>
        <w:t>, Soberón JR</w:t>
      </w:r>
      <w:r w:rsidR="006B6DE5">
        <w:t xml:space="preserve"> (1)</w:t>
      </w:r>
      <w:r>
        <w:t xml:space="preserve">, </w:t>
      </w:r>
      <w:proofErr w:type="spellStart"/>
      <w:r>
        <w:t>Sampietro</w:t>
      </w:r>
      <w:proofErr w:type="spellEnd"/>
      <w:r>
        <w:t xml:space="preserve"> DA</w:t>
      </w:r>
      <w:r w:rsidR="006B6DE5">
        <w:t xml:space="preserve"> (1)</w:t>
      </w:r>
    </w:p>
    <w:p w14:paraId="2A24FE2D" w14:textId="77777777" w:rsidR="009C73E5" w:rsidRDefault="00EA0C55">
      <w:pPr>
        <w:pStyle w:val="LO-normal"/>
        <w:spacing w:after="0" w:line="240" w:lineRule="auto"/>
        <w:jc w:val="center"/>
      </w:pPr>
      <w:r>
        <w:t xml:space="preserve"> </w:t>
      </w:r>
    </w:p>
    <w:p w14:paraId="6837D917" w14:textId="257D678D" w:rsidR="009C73E5" w:rsidRDefault="006B6DE5" w:rsidP="006B6DE5">
      <w:pPr>
        <w:pStyle w:val="LO-normal"/>
        <w:spacing w:after="120" w:line="240" w:lineRule="auto"/>
        <w:jc w:val="left"/>
      </w:pPr>
      <w:r>
        <w:t xml:space="preserve">(1) </w:t>
      </w:r>
      <w:r w:rsidR="00204D67">
        <w:t>Cátedra de Fitoquímica, Instituto de Estudios Farmacológicos, UNT, Ayacucho 471, San Miguel de Tucumán, Tucumán, Argentina.</w:t>
      </w:r>
    </w:p>
    <w:p w14:paraId="419031E7" w14:textId="77777777" w:rsidR="009C73E5" w:rsidRDefault="00204D67">
      <w:pPr>
        <w:pStyle w:val="LO-normal"/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mari_jimenez81@hotmail.com</w:t>
      </w:r>
      <w:r>
        <w:rPr>
          <w:color w:val="000000"/>
        </w:rPr>
        <w:tab/>
      </w:r>
    </w:p>
    <w:p w14:paraId="53D74FFF" w14:textId="77777777" w:rsidR="009C73E5" w:rsidRDefault="009C73E5">
      <w:pPr>
        <w:pStyle w:val="LO-normal"/>
        <w:spacing w:after="0" w:line="240" w:lineRule="auto"/>
      </w:pPr>
    </w:p>
    <w:p w14:paraId="0624C4C1" w14:textId="71E1BEAF" w:rsidR="009C73E5" w:rsidRDefault="00204D67">
      <w:pPr>
        <w:pStyle w:val="LO-normal"/>
        <w:spacing w:after="0" w:line="240" w:lineRule="auto"/>
      </w:pPr>
      <w:r>
        <w:rPr>
          <w:rFonts w:cs="Times New Roman"/>
          <w:color w:val="000000"/>
        </w:rPr>
        <w:t xml:space="preserve">Especies de </w:t>
      </w:r>
      <w:r>
        <w:rPr>
          <w:rFonts w:cs="Times New Roman"/>
          <w:i/>
          <w:iCs/>
          <w:color w:val="000000"/>
        </w:rPr>
        <w:t xml:space="preserve">Fusarium, </w:t>
      </w:r>
      <w:r>
        <w:rPr>
          <w:rFonts w:cs="Times New Roman"/>
          <w:color w:val="000000"/>
        </w:rPr>
        <w:t xml:space="preserve">especialmente </w:t>
      </w:r>
      <w:r>
        <w:rPr>
          <w:rFonts w:cs="Times New Roman"/>
          <w:i/>
          <w:iCs/>
          <w:color w:val="000000"/>
        </w:rPr>
        <w:t>F</w:t>
      </w:r>
      <w:r w:rsidR="00A67219" w:rsidRPr="00A67219">
        <w:rPr>
          <w:rFonts w:cs="Times New Roman"/>
          <w:i/>
          <w:iCs/>
          <w:color w:val="FF0000"/>
        </w:rPr>
        <w:t>usarium</w:t>
      </w:r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verticillioides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>y</w:t>
      </w:r>
      <w:r>
        <w:rPr>
          <w:rFonts w:cs="Times New Roman"/>
          <w:i/>
          <w:iCs/>
          <w:color w:val="000000"/>
        </w:rPr>
        <w:t xml:space="preserve"> F</w:t>
      </w:r>
      <w:r w:rsidR="00A67219" w:rsidRPr="00A67219">
        <w:rPr>
          <w:rFonts w:cs="Times New Roman"/>
          <w:i/>
          <w:iCs/>
          <w:color w:val="FF0000"/>
        </w:rPr>
        <w:t>usarium</w:t>
      </w:r>
      <w:r>
        <w:rPr>
          <w:rFonts w:cs="Times New Roman"/>
          <w:i/>
          <w:iCs/>
          <w:color w:val="00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graminearum</w:t>
      </w:r>
      <w:proofErr w:type="spellEnd"/>
      <w:r>
        <w:rPr>
          <w:rFonts w:cs="Times New Roman"/>
          <w:color w:val="000000"/>
        </w:rPr>
        <w:t xml:space="preserve">, producen enfermedades en cereales, reduciendo el rendimiento de </w:t>
      </w:r>
      <w:r w:rsidR="001D5BC5" w:rsidRPr="001D5BC5">
        <w:rPr>
          <w:rFonts w:cs="Times New Roman"/>
          <w:color w:val="FF0000"/>
        </w:rPr>
        <w:t>la</w:t>
      </w:r>
      <w:r w:rsidR="001D5BC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cosecha. Estos patógenos, además, contaminan los granos con toxinas que al consumirse afectan la salud humana y animal, atentando contra la seguridad alimentaria nacional y restringiendo la producción local hacia mercados externos. Los controles químicos actualmente aplicados para controlar estos patógenos presentan eficacia limitada, y riesgos para el medioambiente. Es necesario, por lo tanto, el desarrollo de antifúngicos que controlen a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sin efectos deletéreos sobre el cultivo y el ambiente en general. En investigaciones previas demostramos que el extracto </w:t>
      </w:r>
      <w:proofErr w:type="spellStart"/>
      <w:r>
        <w:rPr>
          <w:rFonts w:cs="Times New Roman"/>
          <w:color w:val="000000"/>
        </w:rPr>
        <w:t>etanólico</w:t>
      </w:r>
      <w:proofErr w:type="spellEnd"/>
      <w:r>
        <w:rPr>
          <w:rFonts w:cs="Times New Roman"/>
          <w:color w:val="000000"/>
        </w:rPr>
        <w:t xml:space="preserve"> de </w:t>
      </w:r>
      <w:r>
        <w:rPr>
          <w:rFonts w:cs="Times New Roman"/>
          <w:i/>
          <w:iCs/>
          <w:color w:val="000000"/>
        </w:rPr>
        <w:t>L</w:t>
      </w:r>
      <w:r w:rsidR="001D5BC5" w:rsidRPr="001D5BC5">
        <w:rPr>
          <w:i/>
          <w:iCs/>
          <w:color w:val="FF0000"/>
        </w:rPr>
        <w:t>arrea</w:t>
      </w:r>
      <w:r w:rsidRPr="001D5BC5">
        <w:rPr>
          <w:rFonts w:cs="Times New Roman"/>
          <w:i/>
          <w:iCs/>
          <w:color w:val="FF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divaricata</w:t>
      </w:r>
      <w:proofErr w:type="spellEnd"/>
      <w:r>
        <w:rPr>
          <w:rFonts w:cs="Times New Roman"/>
          <w:color w:val="000000"/>
        </w:rPr>
        <w:t xml:space="preserve"> </w:t>
      </w:r>
      <w:ins w:id="0" w:author="User" w:date="2022-08-09T23:59:00Z">
        <w:r w:rsidR="00B070B7">
          <w:t xml:space="preserve">(ELD) </w:t>
        </w:r>
      </w:ins>
      <w:r>
        <w:rPr>
          <w:rFonts w:cs="Times New Roman"/>
          <w:color w:val="000000"/>
        </w:rPr>
        <w:t xml:space="preserve">redujo significativamente el desarrollo de especies de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aisladas de granos de </w:t>
      </w:r>
      <w:r w:rsidR="001D5BC5">
        <w:rPr>
          <w:rFonts w:cs="Times New Roman"/>
          <w:color w:val="000000"/>
        </w:rPr>
        <w:t>maíz</w:t>
      </w:r>
      <w:r>
        <w:rPr>
          <w:rFonts w:cs="Times New Roman"/>
          <w:color w:val="000000"/>
        </w:rPr>
        <w:t xml:space="preserve"> y trigo. </w:t>
      </w:r>
      <w:r>
        <w:t xml:space="preserve">Objetivos: Determinar la fitotoxicidad y la genotoxicidad del extracto </w:t>
      </w:r>
      <w:proofErr w:type="spellStart"/>
      <w:r>
        <w:t>etanólico</w:t>
      </w:r>
      <w:proofErr w:type="spellEnd"/>
      <w:r>
        <w:t xml:space="preserve"> de partes aéreas de </w:t>
      </w:r>
      <w:r>
        <w:rPr>
          <w:rFonts w:cs="Times New Roman"/>
          <w:i/>
          <w:iCs/>
          <w:color w:val="000000"/>
        </w:rPr>
        <w:t xml:space="preserve">L. </w:t>
      </w:r>
      <w:proofErr w:type="spellStart"/>
      <w:r>
        <w:rPr>
          <w:rFonts w:cs="Times New Roman"/>
          <w:i/>
          <w:iCs/>
          <w:color w:val="000000"/>
        </w:rPr>
        <w:t>divaricata</w:t>
      </w:r>
      <w:proofErr w:type="spellEnd"/>
      <w:r>
        <w:rPr>
          <w:rFonts w:cs="Times New Roman"/>
          <w:color w:val="000000"/>
        </w:rPr>
        <w:t xml:space="preserve">, y calcular el índice de selectividad antifúngica del mismo en base a dosis activas sobre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graminearum</w:t>
      </w:r>
      <w:proofErr w:type="spellEnd"/>
      <w:r>
        <w:rPr>
          <w:rFonts w:cs="Times New Roman"/>
          <w:i/>
          <w:iCs/>
          <w:color w:val="000000"/>
        </w:rPr>
        <w:t xml:space="preserve"> sensu stricto</w:t>
      </w:r>
      <w:r>
        <w:rPr>
          <w:rFonts w:cs="Times New Roman"/>
          <w:color w:val="000000"/>
        </w:rPr>
        <w:t xml:space="preserve"> y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verticilliodes</w:t>
      </w:r>
      <w:proofErr w:type="spellEnd"/>
      <w:r>
        <w:rPr>
          <w:rFonts w:cs="Times New Roman"/>
          <w:color w:val="000000"/>
        </w:rPr>
        <w:t xml:space="preserve">. </w:t>
      </w:r>
      <w:r>
        <w:t xml:space="preserve">Resultados: El </w:t>
      </w:r>
      <w:del w:id="1" w:author="User" w:date="2022-08-09T23:59:00Z">
        <w:r w:rsidDel="00B070B7">
          <w:delText xml:space="preserve">extracto etanólico de </w:delText>
        </w:r>
        <w:r w:rsidDel="00B070B7">
          <w:rPr>
            <w:i/>
            <w:iCs/>
          </w:rPr>
          <w:delText>L. divaricata</w:delText>
        </w:r>
        <w:r w:rsidDel="00B070B7">
          <w:delText xml:space="preserve"> (</w:delText>
        </w:r>
      </w:del>
      <w:r>
        <w:t>ELD</w:t>
      </w:r>
      <w:del w:id="2" w:author="User" w:date="2022-08-09T23:59:00Z">
        <w:r w:rsidDel="00B070B7">
          <w:delText>)</w:delText>
        </w:r>
      </w:del>
      <w:r>
        <w:t xml:space="preserve"> fue obtenido con un rendimiento de 36% p/p. Mediante el ensayo de toxicidad de </w:t>
      </w:r>
      <w:proofErr w:type="spellStart"/>
      <w:r>
        <w:rPr>
          <w:i/>
          <w:iCs/>
        </w:rPr>
        <w:t>Allium</w:t>
      </w:r>
      <w:proofErr w:type="spellEnd"/>
      <w:r>
        <w:rPr>
          <w:i/>
          <w:iCs/>
        </w:rPr>
        <w:t xml:space="preserve"> cepa</w:t>
      </w:r>
      <w:r>
        <w:t xml:space="preserve"> se determinó que ELD presentó una concentración inhibitoria de la longitud radicular 50 (CILr50) igual a 945 ppm, correspondiendo a un</w:t>
      </w:r>
      <w:r w:rsidR="006F5CB3">
        <w:t>a</w:t>
      </w:r>
      <w:r>
        <w:t xml:space="preserve"> toxicidad 4 veces menor que el control positivo (CILr50 de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= 225 ppm). Dosis del extracto iguales o inferiores a 500 ppm no generaron reducciones en la longitud radicular, ni evidencias de aberraciones cromosómicas en el análisis microscópico. La CILr50 de ELD es varias veces superior a las concentraciones inhibitorias del 50% del crecimiento micelial (CI50) de este mismo extracto sobre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graminearum</w:t>
      </w:r>
      <w:proofErr w:type="spellEnd"/>
      <w:r>
        <w:rPr>
          <w:rFonts w:cs="Times New Roman"/>
          <w:i/>
          <w:iCs/>
          <w:color w:val="000000"/>
        </w:rPr>
        <w:t xml:space="preserve"> sensu stricto</w:t>
      </w:r>
      <w:r>
        <w:rPr>
          <w:rFonts w:cs="Times New Roman"/>
          <w:color w:val="000000"/>
        </w:rPr>
        <w:t xml:space="preserve"> (CI50=120 ppm) y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verticilliodes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 xml:space="preserve">(CI50=190 ppm), obteniéndose así, índices de selectividad (IS) iguales a 7,87 y 4,97, respectivamente. </w:t>
      </w:r>
      <w:r>
        <w:t xml:space="preserve">Discusión: Los valores de IS calculados mediante la relación CILr50/CI50, indican que el extracto presenta una bioactividad selectivamente antifúngica, sin generar efectos adversos en células vegetales como la de </w:t>
      </w:r>
      <w:proofErr w:type="spellStart"/>
      <w:r>
        <w:rPr>
          <w:i/>
          <w:iCs/>
        </w:rPr>
        <w:t>Allium</w:t>
      </w:r>
      <w:proofErr w:type="spellEnd"/>
      <w:r>
        <w:rPr>
          <w:i/>
          <w:iCs/>
        </w:rPr>
        <w:t xml:space="preserve"> cepa</w:t>
      </w:r>
      <w:r>
        <w:t xml:space="preserve"> en las dosis activas sobre los pat</w:t>
      </w:r>
      <w:r w:rsidR="00004BF8">
        <w:t>ó</w:t>
      </w:r>
      <w:r>
        <w:t xml:space="preserve">genos fúngicos. Conclusión: El </w:t>
      </w:r>
      <w:del w:id="3" w:author="User" w:date="2022-08-10T00:02:00Z">
        <w:r w:rsidDel="00A142FE">
          <w:delText xml:space="preserve">extracto etanólico de </w:delText>
        </w:r>
        <w:r w:rsidDel="00A142FE">
          <w:rPr>
            <w:i/>
            <w:iCs/>
          </w:rPr>
          <w:delText>L. divaricata</w:delText>
        </w:r>
      </w:del>
      <w:ins w:id="4" w:author="User" w:date="2022-08-10T00:02:00Z">
        <w:r w:rsidR="00A142FE">
          <w:t>ELD</w:t>
        </w:r>
      </w:ins>
      <w:r>
        <w:rPr>
          <w:i/>
          <w:iCs/>
        </w:rPr>
        <w:t xml:space="preserve"> </w:t>
      </w:r>
      <w:r>
        <w:t xml:space="preserve">no generó efectos tóxicos </w:t>
      </w:r>
      <w:del w:id="5" w:author="User" w:date="2022-08-10T00:02:00Z">
        <w:r w:rsidDel="00A142FE">
          <w:delText xml:space="preserve">y </w:delText>
        </w:r>
      </w:del>
      <w:ins w:id="6" w:author="User" w:date="2022-08-10T00:02:00Z">
        <w:r w:rsidR="00A142FE">
          <w:t xml:space="preserve">ni </w:t>
        </w:r>
      </w:ins>
      <w:r>
        <w:t xml:space="preserve">genotóxicos en las concentraciones </w:t>
      </w:r>
      <w:r w:rsidR="00004BF8">
        <w:t xml:space="preserve">que fueron </w:t>
      </w:r>
      <w:r>
        <w:t xml:space="preserve">tóxicas </w:t>
      </w:r>
      <w:r>
        <w:rPr>
          <w:rFonts w:cs="Times New Roman"/>
          <w:color w:val="000000"/>
        </w:rPr>
        <w:t xml:space="preserve">sobre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>, presentando alto potencial en su uso como fitosanitario .Estudios posteriores se orientar</w:t>
      </w:r>
      <w:r w:rsidR="00004BF8">
        <w:rPr>
          <w:rFonts w:cs="Times New Roman"/>
          <w:color w:val="000000"/>
        </w:rPr>
        <w:t>á</w:t>
      </w:r>
      <w:r>
        <w:rPr>
          <w:rFonts w:cs="Times New Roman"/>
          <w:color w:val="000000"/>
        </w:rPr>
        <w:t xml:space="preserve">n hacia la </w:t>
      </w:r>
      <w:del w:id="7" w:author="User" w:date="2022-08-10T00:02:00Z">
        <w:r w:rsidDel="00A142FE">
          <w:rPr>
            <w:rFonts w:cs="Times New Roman"/>
            <w:color w:val="000000"/>
          </w:rPr>
          <w:delText>purificacion</w:delText>
        </w:r>
      </w:del>
      <w:ins w:id="8" w:author="User" w:date="2022-08-10T00:02:00Z">
        <w:r w:rsidR="00A142FE">
          <w:rPr>
            <w:rFonts w:cs="Times New Roman"/>
            <w:color w:val="000000"/>
          </w:rPr>
          <w:t>purificación</w:t>
        </w:r>
      </w:ins>
      <w:r>
        <w:rPr>
          <w:rFonts w:cs="Times New Roman"/>
          <w:color w:val="000000"/>
        </w:rPr>
        <w:t xml:space="preserve"> y </w:t>
      </w:r>
      <w:del w:id="9" w:author="User" w:date="2022-08-10T00:02:00Z">
        <w:r w:rsidDel="00A142FE">
          <w:rPr>
            <w:rFonts w:cs="Times New Roman"/>
            <w:color w:val="000000"/>
          </w:rPr>
          <w:delText>elucidacion</w:delText>
        </w:r>
      </w:del>
      <w:ins w:id="10" w:author="User" w:date="2022-08-10T00:02:00Z">
        <w:r w:rsidR="00A142FE">
          <w:rPr>
            <w:rFonts w:cs="Times New Roman"/>
            <w:color w:val="000000"/>
          </w:rPr>
          <w:t>elucidación</w:t>
        </w:r>
      </w:ins>
      <w:r>
        <w:rPr>
          <w:rFonts w:cs="Times New Roman"/>
          <w:color w:val="000000"/>
        </w:rPr>
        <w:t xml:space="preserve"> estructural de las moléculas bioactivas responsables. </w:t>
      </w:r>
    </w:p>
    <w:p w14:paraId="4B9CCECB" w14:textId="77777777" w:rsidR="006F5CB3" w:rsidRDefault="006F5CB3">
      <w:pPr>
        <w:pStyle w:val="LO-normal"/>
        <w:spacing w:after="0" w:line="240" w:lineRule="auto"/>
      </w:pPr>
    </w:p>
    <w:p w14:paraId="32A8F65C" w14:textId="61774E9F" w:rsidR="009C73E5" w:rsidRDefault="00204D67">
      <w:pPr>
        <w:pStyle w:val="LO-normal"/>
        <w:spacing w:after="0" w:line="240" w:lineRule="auto"/>
      </w:pPr>
      <w:r>
        <w:t>Palab</w:t>
      </w:r>
      <w:r w:rsidR="006F5CB3">
        <w:t xml:space="preserve">ras claves: extracto </w:t>
      </w:r>
      <w:proofErr w:type="spellStart"/>
      <w:r w:rsidR="006F5CB3">
        <w:t>etanólico</w:t>
      </w:r>
      <w:proofErr w:type="spellEnd"/>
      <w:r>
        <w:rPr>
          <w:i/>
          <w:iCs/>
        </w:rPr>
        <w:t xml:space="preserve">, </w:t>
      </w:r>
      <w:r>
        <w:t xml:space="preserve">fitotoxicidad, genotoxicidad, </w:t>
      </w:r>
      <w:r>
        <w:rPr>
          <w:rFonts w:cs="Times New Roman"/>
          <w:color w:val="000000"/>
        </w:rPr>
        <w:t xml:space="preserve">índice de selectividad, </w:t>
      </w:r>
      <w:r>
        <w:rPr>
          <w:rFonts w:cs="Times New Roman"/>
          <w:i/>
          <w:iCs/>
          <w:color w:val="000000"/>
        </w:rPr>
        <w:t>Fusarium</w:t>
      </w:r>
    </w:p>
    <w:sectPr w:rsidR="009C73E5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7F78" w14:textId="77777777" w:rsidR="00ED1BC2" w:rsidRDefault="00ED1BC2">
      <w:pPr>
        <w:spacing w:after="0" w:line="240" w:lineRule="auto"/>
      </w:pPr>
      <w:r>
        <w:separator/>
      </w:r>
    </w:p>
  </w:endnote>
  <w:endnote w:type="continuationSeparator" w:id="0">
    <w:p w14:paraId="5AF21F06" w14:textId="77777777" w:rsidR="00ED1BC2" w:rsidRDefault="00E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34BD" w14:textId="77777777" w:rsidR="00ED1BC2" w:rsidRDefault="00ED1BC2">
      <w:pPr>
        <w:spacing w:after="0" w:line="240" w:lineRule="auto"/>
      </w:pPr>
      <w:r>
        <w:separator/>
      </w:r>
    </w:p>
  </w:footnote>
  <w:footnote w:type="continuationSeparator" w:id="0">
    <w:p w14:paraId="27E9ADEB" w14:textId="77777777" w:rsidR="00ED1BC2" w:rsidRDefault="00ED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88D9" w14:textId="77777777" w:rsidR="00204D67" w:rsidRDefault="00204D67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  <w:lang w:val="es-MX" w:eastAsia="es-MX" w:bidi="ar-SA"/>
      </w:rPr>
      <w:drawing>
        <wp:anchor distT="0" distB="0" distL="0" distR="0" simplePos="0" relativeHeight="2" behindDoc="1" locked="0" layoutInCell="1" allowOverlap="1" wp14:anchorId="64611B50" wp14:editId="7C61C6DE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6E14"/>
    <w:multiLevelType w:val="hybridMultilevel"/>
    <w:tmpl w:val="2D463EB2"/>
    <w:lvl w:ilvl="0" w:tplc="FAA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277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E5"/>
    <w:rsid w:val="00004BF8"/>
    <w:rsid w:val="00164912"/>
    <w:rsid w:val="001D5BC5"/>
    <w:rsid w:val="00204D67"/>
    <w:rsid w:val="0025320A"/>
    <w:rsid w:val="003F5E40"/>
    <w:rsid w:val="004F2BA3"/>
    <w:rsid w:val="00623F20"/>
    <w:rsid w:val="006B6DE5"/>
    <w:rsid w:val="006F5CB3"/>
    <w:rsid w:val="007845AB"/>
    <w:rsid w:val="009046F6"/>
    <w:rsid w:val="00926E22"/>
    <w:rsid w:val="00974DB5"/>
    <w:rsid w:val="009C73E5"/>
    <w:rsid w:val="00A142FE"/>
    <w:rsid w:val="00A4632F"/>
    <w:rsid w:val="00A67219"/>
    <w:rsid w:val="00B070B7"/>
    <w:rsid w:val="00B305BC"/>
    <w:rsid w:val="00B54366"/>
    <w:rsid w:val="00BC24E2"/>
    <w:rsid w:val="00D90AE8"/>
    <w:rsid w:val="00E03924"/>
    <w:rsid w:val="00EA0C55"/>
    <w:rsid w:val="00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5A49"/>
  <w15:docId w15:val="{42CA4B06-F7B1-4871-ACFC-55831EB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basedOn w:val="LO-normal"/>
    <w:next w:val="LO-normal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200" w:line="276" w:lineRule="auto"/>
      <w:jc w:val="both"/>
    </w:pPr>
    <w:rPr>
      <w:sz w:val="24"/>
    </w:rPr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F2BA3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Abel López</cp:lastModifiedBy>
  <cp:revision>2</cp:revision>
  <dcterms:created xsi:type="dcterms:W3CDTF">2022-08-10T22:30:00Z</dcterms:created>
  <dcterms:modified xsi:type="dcterms:W3CDTF">2022-08-10T22:30:00Z</dcterms:modified>
  <dc:language>es-MX</dc:language>
</cp:coreProperties>
</file>