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E9" w:rsidRDefault="003E6F4C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</w:t>
      </w:r>
      <w:r>
        <w:rPr>
          <w:b/>
          <w:i/>
          <w:color w:val="000000"/>
        </w:rPr>
        <w:t>in situ</w:t>
      </w:r>
      <w:r>
        <w:rPr>
          <w:b/>
          <w:color w:val="000000"/>
        </w:rPr>
        <w:t xml:space="preserve"> de la combinación de un extracto de vinal con preservantes alimentarios sobre la flora natural de alimento avícola</w:t>
      </w:r>
    </w:p>
    <w:p w:rsidR="00425AE9" w:rsidRDefault="00425AE9">
      <w:pPr>
        <w:pStyle w:val="LO-normal"/>
        <w:spacing w:after="0" w:line="240" w:lineRule="auto"/>
        <w:jc w:val="center"/>
      </w:pPr>
    </w:p>
    <w:p w:rsidR="00425AE9" w:rsidRDefault="003E6F4C">
      <w:pPr>
        <w:pStyle w:val="LO-normal"/>
        <w:spacing w:after="0" w:line="240" w:lineRule="auto"/>
        <w:jc w:val="center"/>
      </w:pPr>
      <w:r>
        <w:t xml:space="preserve">Gómez AA (1), </w:t>
      </w:r>
      <w:proofErr w:type="spellStart"/>
      <w:r>
        <w:t>Sanchez</w:t>
      </w:r>
      <w:proofErr w:type="spellEnd"/>
      <w:r>
        <w:t xml:space="preserve"> </w:t>
      </w:r>
      <w:proofErr w:type="spellStart"/>
      <w:r>
        <w:t>Mat</w:t>
      </w:r>
      <w:r w:rsidR="0051263D">
        <w:t>i</w:t>
      </w:r>
      <w:r>
        <w:t>as</w:t>
      </w:r>
      <w:proofErr w:type="spellEnd"/>
      <w:r>
        <w:t xml:space="preserve"> MH (1), Jiménez CM (1), Bueno DJ (2), </w:t>
      </w:r>
      <w:proofErr w:type="spellStart"/>
      <w:r>
        <w:t>Sampietro</w:t>
      </w:r>
      <w:proofErr w:type="spellEnd"/>
      <w:r>
        <w:t xml:space="preserve"> DA (1)</w:t>
      </w:r>
    </w:p>
    <w:p w:rsidR="00425AE9" w:rsidRDefault="00425AE9">
      <w:pPr>
        <w:pStyle w:val="LO-normal"/>
        <w:spacing w:after="0" w:line="240" w:lineRule="auto"/>
        <w:jc w:val="center"/>
      </w:pPr>
    </w:p>
    <w:p w:rsidR="00425AE9" w:rsidRDefault="003E6F4C">
      <w:pPr>
        <w:pStyle w:val="LO-normal"/>
        <w:spacing w:after="120" w:line="240" w:lineRule="auto"/>
      </w:pPr>
      <w:r w:rsidRPr="006171D0">
        <w:t>(1) LABIFITO</w:t>
      </w:r>
      <w:r>
        <w:t xml:space="preserve">. FBQF UNT. Ayacucho 471, </w:t>
      </w:r>
      <w:r>
        <w:rPr>
          <w:color w:val="000000"/>
        </w:rPr>
        <w:t>San Miguel de Tucumán,</w:t>
      </w:r>
      <w:r>
        <w:rPr>
          <w:color w:val="FF0000"/>
        </w:rPr>
        <w:t xml:space="preserve"> </w:t>
      </w:r>
      <w:r>
        <w:t>Tucumán, Argentina. CP:4000</w:t>
      </w:r>
    </w:p>
    <w:p w:rsidR="00425AE9" w:rsidRDefault="003E6F4C">
      <w:pPr>
        <w:pStyle w:val="LO-normal"/>
        <w:spacing w:line="240" w:lineRule="auto"/>
      </w:pPr>
      <w:r w:rsidRPr="006171D0">
        <w:t xml:space="preserve">(2) INTA </w:t>
      </w:r>
      <w:r>
        <w:t xml:space="preserve">EEA </w:t>
      </w:r>
      <w:r w:rsidR="0051263D">
        <w:t>C</w:t>
      </w:r>
      <w:r>
        <w:t>oncepción del Uruguay- Concepción del Uruguay-Entre Ríos, Argentina. CP:3260</w:t>
      </w:r>
    </w:p>
    <w:p w:rsidR="00425AE9" w:rsidRDefault="003E6F4C">
      <w:pPr>
        <w:pStyle w:val="LO-normal"/>
        <w:spacing w:after="0" w:line="240" w:lineRule="auto"/>
      </w:pPr>
      <w:r>
        <w:t>analiagomez_3@hotmail.com</w:t>
      </w:r>
    </w:p>
    <w:p w:rsidR="00425AE9" w:rsidRDefault="00425AE9">
      <w:pPr>
        <w:pStyle w:val="LO-normal"/>
        <w:spacing w:after="0" w:line="240" w:lineRule="auto"/>
      </w:pPr>
    </w:p>
    <w:p w:rsidR="00425AE9" w:rsidRDefault="003E6F4C">
      <w:pPr>
        <w:pStyle w:val="LO-normal"/>
        <w:spacing w:after="0" w:line="240" w:lineRule="auto"/>
      </w:pPr>
      <w:r>
        <w:rPr>
          <w:rFonts w:cs="Times New Roman"/>
          <w:color w:val="000000"/>
        </w:rPr>
        <w:t>La producción aviar es una actividad importante del sector agropecuario argentino. Uno de los problemas existente</w:t>
      </w:r>
      <w:bookmarkStart w:id="0" w:name="_GoBack"/>
      <w:bookmarkEnd w:id="0"/>
      <w:r>
        <w:rPr>
          <w:rFonts w:cs="Times New Roman"/>
          <w:color w:val="000000"/>
        </w:rPr>
        <w:t xml:space="preserve">s en los alimentos destinados a aves es la presencia de microbios que modifican características nutricionales y organolépticas, a veces contaminando los alimentos con sustancias capaces de generar intoxicaciones como es el caso de las </w:t>
      </w:r>
      <w:proofErr w:type="spellStart"/>
      <w:r>
        <w:rPr>
          <w:rFonts w:cs="Times New Roman"/>
          <w:color w:val="000000"/>
        </w:rPr>
        <w:t>aflatoxinas</w:t>
      </w:r>
      <w:proofErr w:type="spellEnd"/>
      <w:r>
        <w:rPr>
          <w:rFonts w:cs="Times New Roman"/>
          <w:color w:val="000000"/>
        </w:rPr>
        <w:t xml:space="preserve"> producidas por </w:t>
      </w:r>
      <w:r>
        <w:rPr>
          <w:rFonts w:cs="Times New Roman"/>
          <w:i/>
          <w:color w:val="000000"/>
        </w:rPr>
        <w:t>Aspergillus</w:t>
      </w:r>
      <w:r>
        <w:rPr>
          <w:rFonts w:cs="Times New Roman"/>
          <w:color w:val="000000"/>
        </w:rPr>
        <w:t xml:space="preserve">. Para evitar estos problemas se utilizan preservantes como </w:t>
      </w:r>
      <w:proofErr w:type="spellStart"/>
      <w:r>
        <w:rPr>
          <w:rFonts w:cs="Times New Roman"/>
          <w:color w:val="000000"/>
        </w:rPr>
        <w:t>sorbato</w:t>
      </w:r>
      <w:proofErr w:type="spellEnd"/>
      <w:r>
        <w:rPr>
          <w:rFonts w:cs="Times New Roman"/>
          <w:color w:val="000000"/>
        </w:rPr>
        <w:t xml:space="preserve"> de potasio que presentan la desventaja de ser fungistáticos y a concentraciones elevadas puede estimular la producción de </w:t>
      </w:r>
      <w:proofErr w:type="spellStart"/>
      <w:r>
        <w:rPr>
          <w:rFonts w:cs="Times New Roman"/>
          <w:color w:val="000000"/>
        </w:rPr>
        <w:t>aflatoxinas</w:t>
      </w:r>
      <w:proofErr w:type="spellEnd"/>
      <w:r>
        <w:rPr>
          <w:rFonts w:cs="Times New Roman"/>
          <w:color w:val="000000"/>
        </w:rPr>
        <w:t xml:space="preserve">. El uso intensivo de </w:t>
      </w:r>
      <w:proofErr w:type="spellStart"/>
      <w:r>
        <w:rPr>
          <w:rFonts w:cs="Times New Roman"/>
          <w:color w:val="000000"/>
        </w:rPr>
        <w:t>sorbato</w:t>
      </w:r>
      <w:proofErr w:type="spellEnd"/>
      <w:r>
        <w:rPr>
          <w:rFonts w:cs="Times New Roman"/>
          <w:color w:val="000000"/>
        </w:rPr>
        <w:t xml:space="preserve"> de potasio en alimentos hace deseable la incorporación al mercado de nuevos aditivos antimicrobianos. Anteriormente demostramos que partes aéreas de vinal (</w:t>
      </w:r>
      <w:proofErr w:type="spellStart"/>
      <w:r>
        <w:rPr>
          <w:rFonts w:cs="Times New Roman"/>
          <w:i/>
          <w:color w:val="000000"/>
        </w:rPr>
        <w:t>P</w:t>
      </w:r>
      <w:r>
        <w:rPr>
          <w:i/>
          <w:color w:val="000000"/>
        </w:rPr>
        <w:t>rosopis</w:t>
      </w:r>
      <w:proofErr w:type="spellEnd"/>
      <w:r>
        <w:rPr>
          <w:rFonts w:cs="Times New Roman"/>
          <w:i/>
          <w:color w:val="000000"/>
        </w:rPr>
        <w:t xml:space="preserve"> </w:t>
      </w:r>
      <w:proofErr w:type="spellStart"/>
      <w:r>
        <w:rPr>
          <w:rFonts w:cs="Times New Roman"/>
          <w:i/>
          <w:color w:val="000000"/>
        </w:rPr>
        <w:t>ruscifolia</w:t>
      </w:r>
      <w:proofErr w:type="spellEnd"/>
      <w:r>
        <w:rPr>
          <w:rFonts w:cs="Times New Roman"/>
          <w:color w:val="000000"/>
        </w:rPr>
        <w:t xml:space="preserve">) posee metabolitos antimicrobianos solubles en alcoholes y se estudió in-vitro el efecto conjunto del extracto </w:t>
      </w:r>
      <w:proofErr w:type="spellStart"/>
      <w:r>
        <w:rPr>
          <w:rFonts w:cs="Times New Roman"/>
          <w:color w:val="000000"/>
        </w:rPr>
        <w:t>etanólico</w:t>
      </w:r>
      <w:proofErr w:type="spellEnd"/>
      <w:r>
        <w:rPr>
          <w:rFonts w:cs="Times New Roman"/>
          <w:color w:val="000000"/>
        </w:rPr>
        <w:t xml:space="preserve"> de partes aéreas de vinal con </w:t>
      </w:r>
      <w:proofErr w:type="spellStart"/>
      <w:r>
        <w:rPr>
          <w:rFonts w:cs="Times New Roman"/>
          <w:color w:val="000000"/>
        </w:rPr>
        <w:t>sorbato</w:t>
      </w:r>
      <w:proofErr w:type="spellEnd"/>
      <w:r>
        <w:rPr>
          <w:rFonts w:cs="Times New Roman"/>
          <w:color w:val="000000"/>
        </w:rPr>
        <w:t xml:space="preserve"> de potasio (ETOHSP) mediante cálculo de CIF (concentración inhibitoria fraccionada) e ICIF (Índice de concentración inhibitoria fraccionada) lo que nos permitió determinar que el extracto </w:t>
      </w:r>
      <w:proofErr w:type="spellStart"/>
      <w:r>
        <w:rPr>
          <w:rFonts w:cs="Times New Roman"/>
          <w:color w:val="000000"/>
        </w:rPr>
        <w:t>etanólico</w:t>
      </w:r>
      <w:proofErr w:type="spellEnd"/>
      <w:r>
        <w:rPr>
          <w:rFonts w:cs="Times New Roman"/>
          <w:color w:val="000000"/>
        </w:rPr>
        <w:t xml:space="preserve"> de partes aéreas de vinal era capaz de </w:t>
      </w:r>
      <w:proofErr w:type="spellStart"/>
      <w:r>
        <w:rPr>
          <w:rFonts w:cs="Times New Roman"/>
          <w:color w:val="000000"/>
        </w:rPr>
        <w:t>sinergizar</w:t>
      </w:r>
      <w:proofErr w:type="spellEnd"/>
      <w:r>
        <w:rPr>
          <w:rFonts w:cs="Times New Roman"/>
          <w:color w:val="000000"/>
        </w:rPr>
        <w:t xml:space="preserve"> la acción del </w:t>
      </w:r>
      <w:proofErr w:type="spellStart"/>
      <w:r>
        <w:rPr>
          <w:rFonts w:cs="Times New Roman"/>
          <w:color w:val="000000"/>
        </w:rPr>
        <w:t>sorbato</w:t>
      </w:r>
      <w:proofErr w:type="spellEnd"/>
      <w:r>
        <w:rPr>
          <w:rFonts w:cs="Times New Roman"/>
          <w:color w:val="000000"/>
        </w:rPr>
        <w:t xml:space="preserve"> de potasio, reduciendo hasta 18 veces la cantidad de </w:t>
      </w:r>
      <w:proofErr w:type="spellStart"/>
      <w:r>
        <w:rPr>
          <w:rFonts w:cs="Times New Roman"/>
          <w:color w:val="000000"/>
        </w:rPr>
        <w:t>sorbato</w:t>
      </w:r>
      <w:proofErr w:type="spellEnd"/>
      <w:r>
        <w:rPr>
          <w:rFonts w:cs="Times New Roman"/>
          <w:color w:val="000000"/>
        </w:rPr>
        <w:t xml:space="preserve"> de potasio requerida para inhibir el crecimiento de </w:t>
      </w:r>
      <w:r>
        <w:rPr>
          <w:rFonts w:cs="Times New Roman"/>
          <w:i/>
          <w:color w:val="000000"/>
        </w:rPr>
        <w:t>Aspergillus</w:t>
      </w:r>
      <w:r>
        <w:rPr>
          <w:rFonts w:cs="Times New Roman"/>
          <w:color w:val="000000"/>
        </w:rPr>
        <w:t xml:space="preserve">. Teniendo esto en consideración, en este trabajo se investigó el efecto antimicrobiano in-situ de ETOHSP sobre la flora natural (hongos, bacterias y levaduras) de alimento iniciador para pollo. Se colocaron cantidades equivalentes a las CIF determinada en conjunto de cada uno de los componentes de ETOHSP en frascos de vidrio con 50 g de alimento a los cuales se les ajusto la </w:t>
      </w:r>
      <w:proofErr w:type="spellStart"/>
      <w:r>
        <w:rPr>
          <w:rFonts w:cs="Times New Roman"/>
          <w:color w:val="000000"/>
        </w:rPr>
        <w:t>aw</w:t>
      </w:r>
      <w:proofErr w:type="spellEnd"/>
      <w:r>
        <w:rPr>
          <w:rFonts w:cs="Times New Roman"/>
          <w:color w:val="000000"/>
        </w:rPr>
        <w:t xml:space="preserve"> a 0,90 (condiciones ideales de crecimiento microbiano) y se dejó incubar a 30°C. Se lo dejo en incubadora durante 28 días. Cada 7 días se tomaron muestras de 2 g para el análisis de la carga microbiana (hongos, bacterias y levaduras</w:t>
      </w:r>
      <w:proofErr w:type="gramStart"/>
      <w:r>
        <w:rPr>
          <w:rFonts w:cs="Times New Roman"/>
          <w:color w:val="000000"/>
        </w:rPr>
        <w:t>).Se</w:t>
      </w:r>
      <w:proofErr w:type="gramEnd"/>
      <w:r>
        <w:rPr>
          <w:rFonts w:cs="Times New Roman"/>
          <w:color w:val="000000"/>
        </w:rPr>
        <w:t xml:space="preserve"> realizaron diluciones sucesivas y se sembraron en placas de Petri con medio malta peptona agar y se dejó incubar a 30 °C durante 72 </w:t>
      </w:r>
      <w:proofErr w:type="spellStart"/>
      <w:r>
        <w:rPr>
          <w:rFonts w:cs="Times New Roman"/>
          <w:color w:val="000000"/>
        </w:rPr>
        <w:t>hs</w:t>
      </w:r>
      <w:proofErr w:type="spellEnd"/>
      <w:r>
        <w:rPr>
          <w:rFonts w:cs="Times New Roman"/>
          <w:color w:val="000000"/>
        </w:rPr>
        <w:t>. Se realizó la determinación de la carga microbiana mediante la determinación de la cantidad de UFC/</w:t>
      </w:r>
      <w:proofErr w:type="spellStart"/>
      <w:r>
        <w:rPr>
          <w:rFonts w:cs="Times New Roman"/>
          <w:color w:val="000000"/>
        </w:rPr>
        <w:t>mL</w:t>
      </w:r>
      <w:proofErr w:type="spellEnd"/>
      <w:r>
        <w:rPr>
          <w:rFonts w:cs="Times New Roman"/>
          <w:color w:val="000000"/>
        </w:rPr>
        <w:t xml:space="preserve">. Los resultados indican que ETOHSP fue capaz de reducir la carga microbiana natural de alimento iniciador para pollo hasta 99,9% a los 7 días, 99,8% a los 14 días y 99,6 % a los 21 días. Esta mezcla sería una alternativa al </w:t>
      </w:r>
      <w:proofErr w:type="spellStart"/>
      <w:r>
        <w:rPr>
          <w:rFonts w:cs="Times New Roman"/>
          <w:color w:val="000000"/>
        </w:rPr>
        <w:t>sorbato</w:t>
      </w:r>
      <w:proofErr w:type="spellEnd"/>
      <w:r>
        <w:rPr>
          <w:rFonts w:cs="Times New Roman"/>
          <w:color w:val="000000"/>
        </w:rPr>
        <w:t xml:space="preserve"> de potasio, brindando una alternativa más efectiva e inocua para la preservación de alimento para pollo protegiéndolo de </w:t>
      </w:r>
      <w:r>
        <w:rPr>
          <w:rFonts w:cs="Times New Roman"/>
          <w:i/>
          <w:color w:val="000000"/>
        </w:rPr>
        <w:t>Aspergillus</w:t>
      </w:r>
      <w:r>
        <w:rPr>
          <w:rFonts w:cs="Times New Roman"/>
          <w:color w:val="000000"/>
        </w:rPr>
        <w:t xml:space="preserve"> y otros microorganismos causantes del deterioro nutricional y organoléptico de alimento para pollo. Continuaremos con el desarrollo del formulado aplicado.</w:t>
      </w:r>
    </w:p>
    <w:p w:rsidR="00425AE9" w:rsidRDefault="00425AE9">
      <w:pPr>
        <w:pStyle w:val="LO-normal"/>
        <w:spacing w:after="0" w:line="240" w:lineRule="auto"/>
      </w:pPr>
    </w:p>
    <w:p w:rsidR="00425AE9" w:rsidRDefault="003E6F4C">
      <w:pPr>
        <w:pStyle w:val="LO-normal"/>
        <w:spacing w:after="0" w:line="240" w:lineRule="auto"/>
      </w:pPr>
      <w:r>
        <w:lastRenderedPageBreak/>
        <w:t xml:space="preserve">Palabras claves: </w:t>
      </w:r>
      <w:proofErr w:type="spellStart"/>
      <w:proofErr w:type="gramStart"/>
      <w:r>
        <w:rPr>
          <w:i/>
        </w:rPr>
        <w:t>Prosopis</w:t>
      </w:r>
      <w:proofErr w:type="spellEnd"/>
      <w:r>
        <w:rPr>
          <w:i/>
        </w:rPr>
        <w:t xml:space="preserve"> </w:t>
      </w:r>
      <w:r>
        <w:t>,</w:t>
      </w:r>
      <w:proofErr w:type="gramEnd"/>
      <w:r>
        <w:t xml:space="preserve"> </w:t>
      </w:r>
      <w:r>
        <w:rPr>
          <w:i/>
        </w:rPr>
        <w:t>Aspergillus</w:t>
      </w:r>
      <w:r>
        <w:t xml:space="preserve">, </w:t>
      </w:r>
      <w:proofErr w:type="spellStart"/>
      <w:r>
        <w:t>avicola</w:t>
      </w:r>
      <w:proofErr w:type="spellEnd"/>
      <w:r>
        <w:t>, conservantes</w:t>
      </w:r>
    </w:p>
    <w:p w:rsidR="00425AE9" w:rsidRDefault="00425AE9">
      <w:pPr>
        <w:pStyle w:val="LO-normal"/>
        <w:spacing w:after="0" w:line="240" w:lineRule="auto"/>
      </w:pPr>
    </w:p>
    <w:p w:rsidR="00425AE9" w:rsidRDefault="00425AE9">
      <w:pPr>
        <w:spacing w:after="0" w:line="240" w:lineRule="auto"/>
        <w:ind w:left="2" w:hanging="2"/>
        <w:rPr>
          <w:color w:val="FF0000"/>
        </w:rPr>
      </w:pPr>
    </w:p>
    <w:sectPr w:rsidR="00425AE9">
      <w:headerReference w:type="default" r:id="rId7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FC" w:rsidRDefault="006D28FC">
      <w:pPr>
        <w:spacing w:after="0" w:line="240" w:lineRule="auto"/>
      </w:pPr>
      <w:r>
        <w:separator/>
      </w:r>
    </w:p>
  </w:endnote>
  <w:endnote w:type="continuationSeparator" w:id="0">
    <w:p w:rsidR="006D28FC" w:rsidRDefault="006D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FC" w:rsidRDefault="006D28FC">
      <w:pPr>
        <w:spacing w:after="0" w:line="240" w:lineRule="auto"/>
      </w:pPr>
      <w:r>
        <w:separator/>
      </w:r>
    </w:p>
  </w:footnote>
  <w:footnote w:type="continuationSeparator" w:id="0">
    <w:p w:rsidR="006D28FC" w:rsidRDefault="006D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E9" w:rsidRDefault="003E6F4C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  <w:lang w:val="en-US" w:eastAsia="en-US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E9"/>
    <w:rsid w:val="003E6F4C"/>
    <w:rsid w:val="00425AE9"/>
    <w:rsid w:val="0051263D"/>
    <w:rsid w:val="006171D0"/>
    <w:rsid w:val="006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D665"/>
  <w15:docId w15:val="{E2A55784-0CFE-4BD1-A32B-C0937C8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/>
      <w:spacing w:after="200" w:line="276" w:lineRule="auto"/>
      <w:jc w:val="both"/>
      <w:textAlignment w:val="top"/>
      <w:outlineLvl w:val="0"/>
    </w:pPr>
    <w:rPr>
      <w:sz w:val="24"/>
      <w:lang w:eastAsia="en-US" w:bidi="ar-SA"/>
    </w:rPr>
  </w:style>
  <w:style w:type="paragraph" w:styleId="Ttulo1">
    <w:name w:val="heading 1"/>
    <w:next w:val="LO-normal"/>
    <w:qFormat/>
    <w:pPr>
      <w:suppressAutoHyphens/>
      <w:jc w:val="center"/>
      <w:textAlignment w:val="top"/>
      <w:outlineLvl w:val="0"/>
    </w:pPr>
    <w:rPr>
      <w:rFonts w:cs="Times New Roman"/>
      <w:b/>
      <w:sz w:val="24"/>
      <w:lang w:bidi="ar-SA"/>
    </w:rPr>
  </w:style>
  <w:style w:type="paragraph" w:styleId="Ttulo2">
    <w:name w:val="heading 2"/>
    <w:next w:val="LO-normal"/>
    <w:qFormat/>
    <w:pPr>
      <w:suppressAutoHyphens/>
      <w:jc w:val="center"/>
      <w:textAlignment w:val="top"/>
      <w:outlineLvl w:val="1"/>
    </w:pPr>
    <w:rPr>
      <w:rFonts w:cs="Times New Roman"/>
      <w:sz w:val="24"/>
      <w:lang w:bidi="ar-SA"/>
    </w:rPr>
  </w:style>
  <w:style w:type="paragraph" w:styleId="Ttulo3">
    <w:name w:val="heading 3"/>
    <w:next w:val="LO-normal"/>
    <w:qFormat/>
    <w:pPr>
      <w:suppressAutoHyphens/>
      <w:jc w:val="center"/>
      <w:textAlignment w:val="top"/>
      <w:outlineLvl w:val="2"/>
    </w:pPr>
    <w:rPr>
      <w:rFonts w:cs="Times New Roman"/>
      <w:sz w:val="24"/>
      <w:lang w:bidi="ar-SA"/>
    </w:rPr>
  </w:style>
  <w:style w:type="paragraph" w:styleId="Ttulo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LO-normal"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Textoindependiente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qFormat/>
    <w:pPr>
      <w:spacing w:after="200" w:line="276" w:lineRule="auto"/>
      <w:jc w:val="both"/>
    </w:pPr>
    <w:rPr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Company>InKulpado666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Mariana</cp:lastModifiedBy>
  <cp:revision>5</cp:revision>
  <dcterms:created xsi:type="dcterms:W3CDTF">2022-08-10T22:34:00Z</dcterms:created>
  <dcterms:modified xsi:type="dcterms:W3CDTF">2022-08-16T12:44:00Z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