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AAC" w:rsidRDefault="00FF7AAC">
      <w:pPr>
        <w:pStyle w:val="Textoindependiente"/>
        <w:rPr>
          <w:rFonts w:ascii="Times New Roman"/>
          <w:sz w:val="20"/>
        </w:rPr>
      </w:pPr>
    </w:p>
    <w:p w:rsidR="00FF7AAC" w:rsidRDefault="00FF7AAC">
      <w:pPr>
        <w:pStyle w:val="Textoindependiente"/>
        <w:rPr>
          <w:rFonts w:ascii="Times New Roman"/>
          <w:sz w:val="20"/>
        </w:rPr>
      </w:pPr>
    </w:p>
    <w:p w:rsidR="00FF7AAC" w:rsidRDefault="00FF7AAC">
      <w:pPr>
        <w:pStyle w:val="Textoindependiente"/>
        <w:rPr>
          <w:rFonts w:ascii="Times New Roman"/>
          <w:sz w:val="20"/>
        </w:rPr>
      </w:pPr>
    </w:p>
    <w:p w:rsidR="00FF7AAC" w:rsidRDefault="00FF7AAC">
      <w:pPr>
        <w:pStyle w:val="Textoindependiente"/>
        <w:rPr>
          <w:rFonts w:ascii="Times New Roman"/>
          <w:sz w:val="20"/>
        </w:rPr>
      </w:pPr>
    </w:p>
    <w:p w:rsidR="00FF7AAC" w:rsidRDefault="00FF7AAC">
      <w:pPr>
        <w:pStyle w:val="Textoindependiente"/>
        <w:rPr>
          <w:rFonts w:ascii="Times New Roman"/>
          <w:sz w:val="20"/>
        </w:rPr>
      </w:pPr>
    </w:p>
    <w:p w:rsidR="00FF7AAC" w:rsidRDefault="00FF7AAC">
      <w:pPr>
        <w:pStyle w:val="Textoindependiente"/>
        <w:spacing w:before="3"/>
        <w:rPr>
          <w:rFonts w:ascii="Times New Roman"/>
          <w:sz w:val="16"/>
        </w:rPr>
      </w:pPr>
    </w:p>
    <w:p w:rsidR="00FF7AAC" w:rsidRDefault="00FF7AAC">
      <w:pPr>
        <w:pStyle w:val="Textoindependiente"/>
        <w:ind w:left="535"/>
        <w:rPr>
          <w:rFonts w:ascii="Times New Roman"/>
          <w:sz w:val="20"/>
        </w:rPr>
      </w:pPr>
      <w:r w:rsidRPr="00FF7AAC"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381.75pt;height:15.6pt;mso-position-horizontal-relative:char;mso-position-vertical-relative:line" filled="f" stroked="f">
            <v:textbox style="mso-next-textbox:#_x0000_s1032" inset="0,0,0,0">
              <w:txbxContent>
                <w:p w:rsidR="00FF7AAC" w:rsidRDefault="003631DD">
                  <w:pPr>
                    <w:spacing w:line="272" w:lineRule="exact"/>
                    <w:ind w:left="56"/>
                    <w:rPr>
                      <w:rFonts w:ascii="Arial" w:hAnsi="Arial"/>
                      <w:b/>
                      <w:sz w:val="24"/>
                    </w:rPr>
                  </w:pPr>
                  <w:proofErr w:type="gramStart"/>
                  <w:r>
                    <w:rPr>
                      <w:rFonts w:ascii="Arial" w:hAnsi="Arial"/>
                      <w:b/>
                      <w:sz w:val="24"/>
                    </w:rPr>
                    <w:t>una</w:t>
                  </w:r>
                  <w:proofErr w:type="gramEnd"/>
                  <w:r>
                    <w:rPr>
                      <w:rFonts w:ascii="Arial" w:hAnsi="Arial"/>
                      <w:b/>
                      <w:sz w:val="24"/>
                    </w:rPr>
                    <w:t xml:space="preserve"> metodología analítica y monitoreo de productos del mercado.</w:t>
                  </w:r>
                </w:p>
              </w:txbxContent>
            </v:textbox>
            <w10:wrap type="none"/>
            <w10:anchorlock/>
          </v:shape>
        </w:pict>
      </w:r>
    </w:p>
    <w:p w:rsidR="00FF7AAC" w:rsidRDefault="00FF7AAC">
      <w:pPr>
        <w:pStyle w:val="Textoindependiente"/>
        <w:spacing w:before="10"/>
        <w:rPr>
          <w:rFonts w:ascii="Times New Roman"/>
          <w:sz w:val="10"/>
        </w:rPr>
      </w:pPr>
    </w:p>
    <w:p w:rsidR="00FF7AAC" w:rsidRDefault="00FF7AAC">
      <w:pPr>
        <w:pStyle w:val="Textoindependiente"/>
        <w:spacing w:before="93"/>
        <w:ind w:left="267" w:right="310"/>
        <w:jc w:val="center"/>
      </w:pPr>
      <w:r w:rsidRPr="00FF7AAC">
        <w:pict>
          <v:group id="_x0000_s1027" style="position:absolute;left:0;text-align:left;margin-left:85pt;margin-top:-89.65pt;width:425pt;height:66.9pt;z-index:15729152;mso-position-horizontal-relative:page" coordorigin="1700,-1793" coordsize="8500,1338">
            <v:line id="_x0000_s1031" style="position:absolute" from="1700,-1122" to="10200,-1122" strokeweight="1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716;top:-1793;width:1065;height:1035">
              <v:imagedata r:id="rId4" o:title=""/>
            </v:shape>
            <v:shape id="_x0000_s1029" type="#_x0000_t202" style="position:absolute;left:1700;top:-1793;width:8500;height:1035" filled="f" stroked="f">
              <v:textbox style="mso-next-textbox:#_x0000_s1029" inset="0,0,0,0">
                <w:txbxContent>
                  <w:p w:rsidR="00FF7AAC" w:rsidRDefault="00FF7AAC">
                    <w:pPr>
                      <w:rPr>
                        <w:sz w:val="20"/>
                      </w:rPr>
                    </w:pPr>
                  </w:p>
                  <w:p w:rsidR="00FF7AAC" w:rsidRDefault="00FF7AAC">
                    <w:pPr>
                      <w:spacing w:before="9"/>
                      <w:rPr>
                        <w:sz w:val="17"/>
                      </w:rPr>
                    </w:pPr>
                  </w:p>
                  <w:p w:rsidR="00FF7AAC" w:rsidRDefault="003631DD">
                    <w:pPr>
                      <w:ind w:left="1493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VIII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Congreso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Internacional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Ciencia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y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Tecnología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Alimentos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(CICYTAC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2022)</w:t>
                    </w:r>
                  </w:p>
                </w:txbxContent>
              </v:textbox>
            </v:shape>
            <v:shape id="_x0000_s1028" type="#_x0000_t202" style="position:absolute;left:1815;top:-755;width:8276;height:300" filled="f" fillcolor="#fde164" stroked="f">
              <v:fill opacity="26214f"/>
              <v:textbox style="mso-next-textbox:#_x0000_s1028" inset="0,0,0,0">
                <w:txbxContent>
                  <w:p w:rsidR="00C7714C" w:rsidRDefault="00C7714C" w:rsidP="00C7714C">
                    <w:pPr>
                      <w:spacing w:before="19"/>
                      <w:ind w:left="56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 xml:space="preserve">Residuos de pesticidas en </w:t>
                    </w:r>
                    <w:proofErr w:type="spellStart"/>
                    <w:r>
                      <w:rPr>
                        <w:rFonts w:ascii="Arial"/>
                        <w:b/>
                        <w:sz w:val="24"/>
                      </w:rPr>
                      <w:t>quinoa</w:t>
                    </w:r>
                    <w:proofErr w:type="spellEnd"/>
                    <w:r>
                      <w:rPr>
                        <w:rFonts w:ascii="Arial"/>
                        <w:b/>
                        <w:sz w:val="24"/>
                      </w:rPr>
                      <w:t xml:space="preserve"> y productos derivados: desarrollo de</w:t>
                    </w:r>
                  </w:p>
                  <w:p w:rsidR="00FF7AAC" w:rsidRPr="00C7714C" w:rsidRDefault="00FF7AAC" w:rsidP="00C7714C"/>
                </w:txbxContent>
              </v:textbox>
            </v:shape>
            <w10:wrap anchorx="page"/>
          </v:group>
        </w:pict>
      </w:r>
      <w:r w:rsidR="003631DD">
        <w:t>Sanz</w:t>
      </w:r>
      <w:r w:rsidR="003631DD">
        <w:rPr>
          <w:spacing w:val="-14"/>
        </w:rPr>
        <w:t xml:space="preserve"> </w:t>
      </w:r>
      <w:r w:rsidR="003631DD">
        <w:t>A</w:t>
      </w:r>
      <w:r w:rsidR="003631DD">
        <w:rPr>
          <w:spacing w:val="-14"/>
        </w:rPr>
        <w:t xml:space="preserve"> </w:t>
      </w:r>
      <w:r w:rsidR="003631DD">
        <w:t xml:space="preserve">(1), </w:t>
      </w:r>
      <w:proofErr w:type="spellStart"/>
      <w:r w:rsidR="003631DD">
        <w:t>Muzzio</w:t>
      </w:r>
      <w:proofErr w:type="spellEnd"/>
      <w:r w:rsidR="003631DD">
        <w:t xml:space="preserve"> B (1), </w:t>
      </w:r>
      <w:proofErr w:type="spellStart"/>
      <w:r w:rsidR="003631DD">
        <w:t>Maseda</w:t>
      </w:r>
      <w:proofErr w:type="spellEnd"/>
      <w:r w:rsidR="003631DD">
        <w:t xml:space="preserve"> JP</w:t>
      </w:r>
      <w:r w:rsidR="003631DD">
        <w:rPr>
          <w:spacing w:val="-5"/>
        </w:rPr>
        <w:t xml:space="preserve"> </w:t>
      </w:r>
      <w:r w:rsidR="003631DD">
        <w:t xml:space="preserve">(1), </w:t>
      </w:r>
      <w:proofErr w:type="spellStart"/>
      <w:r w:rsidR="003631DD">
        <w:t>Pietronave</w:t>
      </w:r>
      <w:proofErr w:type="spellEnd"/>
      <w:r w:rsidR="003631DD">
        <w:t xml:space="preserve"> JO (1), Cabrera MJ (1),</w:t>
      </w:r>
    </w:p>
    <w:p w:rsidR="00FF7AAC" w:rsidRDefault="003631DD">
      <w:pPr>
        <w:pStyle w:val="Textoindependiente"/>
        <w:ind w:left="267" w:right="279"/>
        <w:jc w:val="center"/>
      </w:pPr>
      <w:r>
        <w:t>Ruarte S (1), Lopez M (1)</w:t>
      </w:r>
    </w:p>
    <w:p w:rsidR="00FF7AAC" w:rsidRDefault="00FF7AAC">
      <w:pPr>
        <w:pStyle w:val="Textoindependiente"/>
        <w:rPr>
          <w:sz w:val="26"/>
        </w:rPr>
      </w:pPr>
    </w:p>
    <w:p w:rsidR="00FF7AAC" w:rsidRDefault="00FF7AAC">
      <w:pPr>
        <w:pStyle w:val="Textoindependiente"/>
        <w:rPr>
          <w:sz w:val="22"/>
        </w:rPr>
      </w:pPr>
    </w:p>
    <w:p w:rsidR="00FF7AAC" w:rsidRDefault="003631DD">
      <w:pPr>
        <w:pStyle w:val="Textoindependiente"/>
        <w:spacing w:line="343" w:lineRule="auto"/>
        <w:ind w:left="101" w:right="892"/>
        <w:jc w:val="both"/>
      </w:pPr>
      <w:r>
        <w:t>(1)Instituto</w:t>
      </w:r>
      <w:r>
        <w:rPr>
          <w:spacing w:val="-2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Alimentos,</w:t>
      </w:r>
      <w:r>
        <w:rPr>
          <w:spacing w:val="-2"/>
        </w:rPr>
        <w:t xml:space="preserve"> </w:t>
      </w:r>
      <w:r>
        <w:t>Estados</w:t>
      </w:r>
      <w:r>
        <w:rPr>
          <w:spacing w:val="-2"/>
        </w:rPr>
        <w:t xml:space="preserve"> </w:t>
      </w:r>
      <w:r>
        <w:t>Unidos</w:t>
      </w:r>
      <w:r>
        <w:rPr>
          <w:spacing w:val="-2"/>
        </w:rPr>
        <w:t xml:space="preserve"> </w:t>
      </w:r>
      <w:r>
        <w:t>25,</w:t>
      </w:r>
      <w:r>
        <w:rPr>
          <w:spacing w:val="-2"/>
        </w:rPr>
        <w:t xml:space="preserve"> </w:t>
      </w:r>
      <w:r>
        <w:t>CABA,</w:t>
      </w:r>
      <w:r>
        <w:rPr>
          <w:spacing w:val="-15"/>
        </w:rPr>
        <w:t xml:space="preserve"> </w:t>
      </w:r>
      <w:r>
        <w:t>Argentina.</w:t>
      </w:r>
      <w:r>
        <w:rPr>
          <w:spacing w:val="-65"/>
        </w:rPr>
        <w:t xml:space="preserve"> </w:t>
      </w:r>
      <w:r>
        <w:t xml:space="preserve">Dirección de e-mail: </w:t>
      </w:r>
      <w:hyperlink r:id="rId5">
        <w:r>
          <w:t>agustina.sanz@anmat.gob.ar</w:t>
        </w:r>
      </w:hyperlink>
    </w:p>
    <w:p w:rsidR="00FF7AAC" w:rsidRDefault="003631DD">
      <w:pPr>
        <w:pStyle w:val="Textoindependiente"/>
        <w:spacing w:before="158"/>
        <w:ind w:left="101" w:right="113"/>
        <w:jc w:val="both"/>
      </w:pPr>
      <w:r>
        <w:t>La Organización de las Naciones Unidas para la Alimentación y la Agricultura</w:t>
      </w:r>
      <w:r>
        <w:rPr>
          <w:spacing w:val="1"/>
        </w:rPr>
        <w:t xml:space="preserve"> </w:t>
      </w:r>
      <w:r>
        <w:t xml:space="preserve">(FAO) ha declarado a la </w:t>
      </w:r>
      <w:proofErr w:type="spellStart"/>
      <w:r>
        <w:t>quinoa</w:t>
      </w:r>
      <w:proofErr w:type="spellEnd"/>
      <w:r>
        <w:t xml:space="preserve"> como uno de los cultivos más importantes de</w:t>
      </w:r>
      <w:r>
        <w:rPr>
          <w:spacing w:val="1"/>
        </w:rPr>
        <w:t xml:space="preserve"> </w:t>
      </w:r>
      <w:r>
        <w:t>los ú</w:t>
      </w:r>
      <w:r>
        <w:t>ltimos tiempos debido a su valor nutricional y a la capacidad de cultivarse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distintos</w:t>
      </w:r>
      <w:r>
        <w:rPr>
          <w:spacing w:val="1"/>
        </w:rPr>
        <w:t xml:space="preserve"> </w:t>
      </w:r>
      <w:r>
        <w:t>ambientes.</w:t>
      </w:r>
      <w:r>
        <w:rPr>
          <w:spacing w:val="1"/>
        </w:rPr>
        <w:t xml:space="preserve"> </w:t>
      </w:r>
      <w:r>
        <w:t>Dado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gran</w:t>
      </w:r>
      <w:r>
        <w:rPr>
          <w:spacing w:val="1"/>
        </w:rPr>
        <w:t xml:space="preserve"> </w:t>
      </w:r>
      <w:r>
        <w:t>aumento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producción, se hace</w:t>
      </w:r>
      <w:r>
        <w:rPr>
          <w:spacing w:val="1"/>
        </w:rPr>
        <w:t xml:space="preserve"> </w:t>
      </w:r>
      <w:r>
        <w:t>necesario estudiar la presencia de contaminantes en este producto. El objetivo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desar</w:t>
      </w:r>
      <w:r>
        <w:t>rollar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metodología</w:t>
      </w:r>
      <w:r>
        <w:rPr>
          <w:spacing w:val="1"/>
        </w:rPr>
        <w:t xml:space="preserve"> </w:t>
      </w:r>
      <w:r>
        <w:t>analítica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determinación de </w:t>
      </w:r>
      <w:proofErr w:type="spellStart"/>
      <w:r>
        <w:t>multiresiduos</w:t>
      </w:r>
      <w:proofErr w:type="spellEnd"/>
      <w:r>
        <w:t xml:space="preserve"> de pesticidas en </w:t>
      </w:r>
      <w:proofErr w:type="spellStart"/>
      <w:r>
        <w:t>quinoa</w:t>
      </w:r>
      <w:proofErr w:type="spellEnd"/>
      <w:r>
        <w:t xml:space="preserve"> y productos a base de</w:t>
      </w:r>
      <w:r>
        <w:rPr>
          <w:spacing w:val="1"/>
        </w:rPr>
        <w:t xml:space="preserve"> </w:t>
      </w:r>
      <w:proofErr w:type="spellStart"/>
      <w:r>
        <w:t>quinoa</w:t>
      </w:r>
      <w:proofErr w:type="spellEnd"/>
      <w:r>
        <w:t>, por cromatografía gaseosa acoplada a espectrometría de masas en</w:t>
      </w:r>
      <w:r>
        <w:rPr>
          <w:spacing w:val="1"/>
        </w:rPr>
        <w:t xml:space="preserve"> </w:t>
      </w:r>
      <w:proofErr w:type="gramStart"/>
      <w:r>
        <w:t>tándem</w:t>
      </w:r>
      <w:proofErr w:type="gramEnd"/>
      <w:r>
        <w:t>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monitoreo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productos</w:t>
      </w:r>
      <w:r>
        <w:rPr>
          <w:spacing w:val="1"/>
        </w:rPr>
        <w:t xml:space="preserve"> </w:t>
      </w:r>
      <w:r>
        <w:t>nacionales.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pesticidas</w:t>
      </w:r>
      <w:r>
        <w:rPr>
          <w:spacing w:val="1"/>
        </w:rPr>
        <w:t xml:space="preserve"> </w:t>
      </w:r>
      <w:proofErr w:type="spellStart"/>
      <w:r>
        <w:t>incluídos</w:t>
      </w:r>
      <w:proofErr w:type="spellEnd"/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método</w:t>
      </w:r>
      <w:r>
        <w:rPr>
          <w:spacing w:val="1"/>
        </w:rPr>
        <w:t xml:space="preserve"> </w:t>
      </w:r>
      <w:r>
        <w:t>fueron:</w:t>
      </w:r>
      <w:r>
        <w:rPr>
          <w:spacing w:val="1"/>
        </w:rPr>
        <w:t xml:space="preserve"> </w:t>
      </w:r>
      <w:proofErr w:type="spellStart"/>
      <w:r>
        <w:t>dimetoato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atrazina</w:t>
      </w:r>
      <w:proofErr w:type="spellEnd"/>
      <w:r>
        <w:t>,</w:t>
      </w:r>
      <w:r>
        <w:rPr>
          <w:spacing w:val="66"/>
        </w:rPr>
        <w:t xml:space="preserve"> </w:t>
      </w:r>
      <w:proofErr w:type="spellStart"/>
      <w:r>
        <w:t>metalaxil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pirimifos</w:t>
      </w:r>
      <w:proofErr w:type="spellEnd"/>
      <w:r>
        <w:t xml:space="preserve"> </w:t>
      </w:r>
      <w:proofErr w:type="spellStart"/>
      <w:r>
        <w:t>metil</w:t>
      </w:r>
      <w:proofErr w:type="spellEnd"/>
      <w:r>
        <w:t xml:space="preserve">, </w:t>
      </w:r>
      <w:proofErr w:type="spellStart"/>
      <w:r>
        <w:t>clorpirifos</w:t>
      </w:r>
      <w:proofErr w:type="spellEnd"/>
      <w:r>
        <w:t xml:space="preserve">, </w:t>
      </w:r>
      <w:proofErr w:type="spellStart"/>
      <w:r>
        <w:t>fipronil</w:t>
      </w:r>
      <w:proofErr w:type="spellEnd"/>
      <w:r>
        <w:t xml:space="preserve">, </w:t>
      </w:r>
      <w:proofErr w:type="spellStart"/>
      <w:r>
        <w:t>tebuconazol</w:t>
      </w:r>
      <w:proofErr w:type="spellEnd"/>
      <w:r>
        <w:t xml:space="preserve">, </w:t>
      </w:r>
      <w:proofErr w:type="spellStart"/>
      <w:r>
        <w:t>cihalotrin</w:t>
      </w:r>
      <w:proofErr w:type="spellEnd"/>
      <w:r>
        <w:t xml:space="preserve"> lambda, </w:t>
      </w:r>
      <w:proofErr w:type="spellStart"/>
      <w:r>
        <w:t>permetrina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cipermetrina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azoxistrobina</w:t>
      </w:r>
      <w:proofErr w:type="spellEnd"/>
      <w:r>
        <w:t>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trabajó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método</w:t>
      </w:r>
      <w:r>
        <w:rPr>
          <w:spacing w:val="1"/>
        </w:rPr>
        <w:t xml:space="preserve"> </w:t>
      </w:r>
      <w:proofErr w:type="spellStart"/>
      <w:r>
        <w:t>QuEChERS</w:t>
      </w:r>
      <w:proofErr w:type="spellEnd"/>
      <w:r>
        <w:t>.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 xml:space="preserve">extracción se realizó con </w:t>
      </w:r>
      <w:proofErr w:type="spellStart"/>
      <w:r>
        <w:t>acetonitrilo</w:t>
      </w:r>
      <w:proofErr w:type="spellEnd"/>
      <w:r>
        <w:t xml:space="preserve"> (1% ácido acético glacial) y sales del</w:t>
      </w:r>
      <w:r>
        <w:rPr>
          <w:spacing w:val="1"/>
        </w:rPr>
        <w:t xml:space="preserve"> </w:t>
      </w:r>
      <w:r>
        <w:t>método</w:t>
      </w:r>
      <w:r>
        <w:rPr>
          <w:spacing w:val="1"/>
        </w:rPr>
        <w:t xml:space="preserve"> </w:t>
      </w:r>
      <w:r>
        <w:t>modificado</w:t>
      </w:r>
      <w:r>
        <w:rPr>
          <w:spacing w:val="1"/>
        </w:rPr>
        <w:t xml:space="preserve"> </w:t>
      </w:r>
      <w:r>
        <w:t>por</w:t>
      </w:r>
      <w:r>
        <w:rPr>
          <w:spacing w:val="66"/>
        </w:rPr>
        <w:t xml:space="preserve"> </w:t>
      </w:r>
      <w:r>
        <w:t>la AOAC (6 g de MgSO4 y 1,5 g de acetato de sodio).</w:t>
      </w:r>
      <w:r>
        <w:rPr>
          <w:spacing w:val="1"/>
        </w:rPr>
        <w:t xml:space="preserve"> </w:t>
      </w:r>
      <w:r>
        <w:t xml:space="preserve">El </w:t>
      </w:r>
      <w:proofErr w:type="spellStart"/>
      <w:r>
        <w:t>clean</w:t>
      </w:r>
      <w:proofErr w:type="spellEnd"/>
      <w:r>
        <w:t xml:space="preserve"> up se realizó con 1200 mg de MgSO4, 400 mg de PSA, 400 mg de</w:t>
      </w:r>
      <w:r>
        <w:rPr>
          <w:spacing w:val="1"/>
        </w:rPr>
        <w:t xml:space="preserve"> </w:t>
      </w:r>
      <w:r>
        <w:t>C18. Se utilizaron estándares de p</w:t>
      </w:r>
      <w:r>
        <w:t>ureza mayor a 95% y acetato de etilo como</w:t>
      </w:r>
      <w:r>
        <w:rPr>
          <w:spacing w:val="1"/>
        </w:rPr>
        <w:t xml:space="preserve"> </w:t>
      </w:r>
      <w:r>
        <w:t>diluyente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preparar</w:t>
      </w:r>
      <w:r>
        <w:rPr>
          <w:spacing w:val="1"/>
        </w:rPr>
        <w:t xml:space="preserve"> </w:t>
      </w:r>
      <w:r>
        <w:t>distintas</w:t>
      </w:r>
      <w:r>
        <w:rPr>
          <w:spacing w:val="1"/>
        </w:rPr>
        <w:t xml:space="preserve"> </w:t>
      </w:r>
      <w:r>
        <w:t>soluciones.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utilizó</w:t>
      </w:r>
      <w:r>
        <w:rPr>
          <w:spacing w:val="1"/>
        </w:rPr>
        <w:t xml:space="preserve"> </w:t>
      </w:r>
      <w:r>
        <w:t>un</w:t>
      </w:r>
      <w:r>
        <w:rPr>
          <w:spacing w:val="66"/>
        </w:rPr>
        <w:t xml:space="preserve"> </w:t>
      </w:r>
      <w:proofErr w:type="spellStart"/>
      <w:r>
        <w:t>cromatógrafo</w:t>
      </w:r>
      <w:proofErr w:type="spellEnd"/>
      <w:r>
        <w:rPr>
          <w:spacing w:val="1"/>
        </w:rPr>
        <w:t xml:space="preserve"> </w:t>
      </w:r>
      <w:r>
        <w:t>gaseoso</w:t>
      </w:r>
      <w:r>
        <w:rPr>
          <w:spacing w:val="1"/>
        </w:rPr>
        <w:t xml:space="preserve"> </w:t>
      </w:r>
      <w:r>
        <w:t>(CG)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detector</w:t>
      </w:r>
      <w:r>
        <w:rPr>
          <w:spacing w:val="1"/>
        </w:rPr>
        <w:t xml:space="preserve"> </w:t>
      </w:r>
      <w:r>
        <w:t xml:space="preserve">de masas de triple </w:t>
      </w:r>
      <w:proofErr w:type="spellStart"/>
      <w:r>
        <w:t>cuadrupolo</w:t>
      </w:r>
      <w:proofErr w:type="spellEnd"/>
      <w:r>
        <w:t>. Se prepararon</w:t>
      </w:r>
      <w:r>
        <w:rPr>
          <w:spacing w:val="1"/>
        </w:rPr>
        <w:t xml:space="preserve"> </w:t>
      </w:r>
      <w:r>
        <w:t>soluciones</w:t>
      </w:r>
      <w:r>
        <w:rPr>
          <w:spacing w:val="1"/>
        </w:rPr>
        <w:t xml:space="preserve"> </w:t>
      </w:r>
      <w:r>
        <w:t>stock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principio</w:t>
      </w:r>
      <w:r>
        <w:rPr>
          <w:spacing w:val="1"/>
        </w:rPr>
        <w:t xml:space="preserve"> </w:t>
      </w:r>
      <w:r>
        <w:t>activo,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ellas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optimizaron</w:t>
      </w:r>
      <w:r>
        <w:rPr>
          <w:spacing w:val="1"/>
        </w:rPr>
        <w:t xml:space="preserve"> </w:t>
      </w:r>
      <w:r>
        <w:t>lo</w:t>
      </w:r>
      <w:r>
        <w:t>s</w:t>
      </w:r>
      <w:r>
        <w:rPr>
          <w:spacing w:val="1"/>
        </w:rPr>
        <w:t xml:space="preserve"> </w:t>
      </w:r>
      <w:r>
        <w:t>parámetros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CG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 detector de masas para obtener una separación</w:t>
      </w:r>
      <w:r>
        <w:rPr>
          <w:spacing w:val="1"/>
        </w:rPr>
        <w:t xml:space="preserve"> </w:t>
      </w:r>
      <w:r>
        <w:t>adecuada</w:t>
      </w:r>
      <w:r>
        <w:rPr>
          <w:spacing w:val="44"/>
        </w:rPr>
        <w:t xml:space="preserve"> </w:t>
      </w:r>
      <w:r>
        <w:t>y</w:t>
      </w:r>
      <w:r>
        <w:rPr>
          <w:spacing w:val="45"/>
        </w:rPr>
        <w:t xml:space="preserve"> </w:t>
      </w:r>
      <w:r>
        <w:t>las</w:t>
      </w:r>
      <w:r>
        <w:rPr>
          <w:spacing w:val="45"/>
        </w:rPr>
        <w:t xml:space="preserve"> </w:t>
      </w:r>
      <w:r>
        <w:t>transiciones</w:t>
      </w:r>
      <w:r>
        <w:rPr>
          <w:spacing w:val="44"/>
        </w:rPr>
        <w:t xml:space="preserve"> </w:t>
      </w:r>
      <w:r>
        <w:t>más</w:t>
      </w:r>
      <w:r>
        <w:rPr>
          <w:spacing w:val="45"/>
        </w:rPr>
        <w:t xml:space="preserve"> </w:t>
      </w:r>
      <w:r>
        <w:t>abundantes</w:t>
      </w:r>
      <w:r>
        <w:rPr>
          <w:spacing w:val="45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cada</w:t>
      </w:r>
      <w:r>
        <w:rPr>
          <w:spacing w:val="45"/>
        </w:rPr>
        <w:t xml:space="preserve"> </w:t>
      </w:r>
      <w:r>
        <w:t>compuesto.</w:t>
      </w:r>
      <w:r>
        <w:rPr>
          <w:spacing w:val="30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utilizó</w:t>
      </w:r>
      <w:r>
        <w:rPr>
          <w:spacing w:val="-64"/>
        </w:rPr>
        <w:t xml:space="preserve"> </w:t>
      </w:r>
      <w:r>
        <w:t xml:space="preserve">una solución </w:t>
      </w:r>
      <w:proofErr w:type="spellStart"/>
      <w:r>
        <w:t>mix</w:t>
      </w:r>
      <w:proofErr w:type="spellEnd"/>
      <w:r>
        <w:t xml:space="preserve"> para realizar la curva en matriz de seis niveles entre 6 y 600</w:t>
      </w:r>
      <w:r>
        <w:rPr>
          <w:spacing w:val="1"/>
        </w:rPr>
        <w:t xml:space="preserve"> </w:t>
      </w:r>
      <w:r>
        <w:t>µg/kg. Se obtuvo una adecuada selectividad y linealidad en este rango. Para la</w:t>
      </w:r>
      <w:r>
        <w:rPr>
          <w:spacing w:val="1"/>
        </w:rPr>
        <w:t xml:space="preserve"> </w:t>
      </w:r>
      <w:r>
        <w:t xml:space="preserve">mayoría de los </w:t>
      </w:r>
      <w:proofErr w:type="spellStart"/>
      <w:r>
        <w:t>analitos</w:t>
      </w:r>
      <w:proofErr w:type="spellEnd"/>
      <w:r>
        <w:t xml:space="preserve"> se obtuvieron recuperaciones aceptables (70-120%); en</w:t>
      </w:r>
      <w:r>
        <w:rPr>
          <w:spacing w:val="-64"/>
        </w:rPr>
        <w:t xml:space="preserve"> </w:t>
      </w:r>
      <w:proofErr w:type="spellStart"/>
      <w:r>
        <w:t>repetibilidad</w:t>
      </w:r>
      <w:proofErr w:type="spellEnd"/>
      <w:r>
        <w:t xml:space="preserve"> y precisión intermedia se obtuvieron coeficientes de variación (CV)</w:t>
      </w:r>
      <w:r>
        <w:rPr>
          <w:spacing w:val="-64"/>
        </w:rPr>
        <w:t xml:space="preserve"> </w:t>
      </w:r>
      <w:r>
        <w:t>menores que 1/2 y</w:t>
      </w:r>
      <w:r>
        <w:t xml:space="preserve"> 2/3 del CV% de </w:t>
      </w:r>
      <w:proofErr w:type="spellStart"/>
      <w:r>
        <w:t>Horwitz</w:t>
      </w:r>
      <w:proofErr w:type="spellEnd"/>
      <w:r>
        <w:t>, respectivamente; los límites de</w:t>
      </w:r>
      <w:r>
        <w:rPr>
          <w:spacing w:val="1"/>
        </w:rPr>
        <w:t xml:space="preserve"> </w:t>
      </w:r>
      <w:r>
        <w:t>cuantificación (LC) estuvieron por debajo de los Límites Máximo de Residuo</w:t>
      </w:r>
      <w:r>
        <w:rPr>
          <w:spacing w:val="1"/>
        </w:rPr>
        <w:t xml:space="preserve"> </w:t>
      </w:r>
      <w:r>
        <w:t>(LMR) de legislaciones de referencia. Se analizaron 41 productos, de los cuales</w:t>
      </w:r>
      <w:r>
        <w:rPr>
          <w:spacing w:val="-64"/>
        </w:rPr>
        <w:t xml:space="preserve"> </w:t>
      </w:r>
      <w:r>
        <w:t xml:space="preserve">se encontraron residuos en 19 de ellos. Los </w:t>
      </w:r>
      <w:r>
        <w:t>pesticidas encontrados fueron</w:t>
      </w:r>
      <w:r>
        <w:rPr>
          <w:spacing w:val="1"/>
        </w:rPr>
        <w:t xml:space="preserve"> </w:t>
      </w:r>
      <w:proofErr w:type="spellStart"/>
      <w:r>
        <w:t>pirimifos</w:t>
      </w:r>
      <w:proofErr w:type="spellEnd"/>
      <w:r>
        <w:rPr>
          <w:spacing w:val="1"/>
        </w:rPr>
        <w:t xml:space="preserve"> </w:t>
      </w:r>
      <w:proofErr w:type="spellStart"/>
      <w:r>
        <w:t>metil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dimetoato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metalaxil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clorpirifos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cipermetrina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tebuconazol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azoxistrobina</w:t>
      </w:r>
      <w:proofErr w:type="spellEnd"/>
      <w:r>
        <w:t xml:space="preserve"> y </w:t>
      </w:r>
      <w:proofErr w:type="spellStart"/>
      <w:r>
        <w:t>cihalotrin</w:t>
      </w:r>
      <w:proofErr w:type="spellEnd"/>
      <w:r>
        <w:t xml:space="preserve"> lambda. Actualmente no existe legislación en el país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contaminantes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proofErr w:type="spellStart"/>
      <w:r>
        <w:t>quinoa</w:t>
      </w:r>
      <w:proofErr w:type="spellEnd"/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tomó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referenc</w:t>
      </w:r>
      <w:r>
        <w:t>ia</w:t>
      </w:r>
      <w:r>
        <w:rPr>
          <w:spacing w:val="1"/>
        </w:rPr>
        <w:t xml:space="preserve"> </w:t>
      </w:r>
      <w:r>
        <w:t>normativa de la Unión Europea. En ninguno de los casos se superaron estos</w:t>
      </w:r>
      <w:r>
        <w:rPr>
          <w:spacing w:val="1"/>
        </w:rPr>
        <w:t xml:space="preserve"> </w:t>
      </w:r>
      <w:r>
        <w:t>LMR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referencia.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clase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estudios brinda evidencia científica que</w:t>
      </w:r>
      <w:r>
        <w:rPr>
          <w:spacing w:val="1"/>
        </w:rPr>
        <w:t xml:space="preserve"> </w:t>
      </w:r>
      <w:r>
        <w:t>justifica la necesidad de incorporar LMR en el Código Alimentario Argentino. Se</w:t>
      </w:r>
      <w:r>
        <w:rPr>
          <w:spacing w:val="-64"/>
        </w:rPr>
        <w:t xml:space="preserve"> </w:t>
      </w:r>
      <w:r>
        <w:t>continuará el monitoreo de este tipo de productos para presentar una propuesta</w:t>
      </w:r>
      <w:r>
        <w:rPr>
          <w:spacing w:val="-64"/>
        </w:rPr>
        <w:t xml:space="preserve"> </w:t>
      </w:r>
      <w:r>
        <w:t>de límite en la Comisión Nacional de</w:t>
      </w:r>
      <w:r>
        <w:rPr>
          <w:spacing w:val="-14"/>
        </w:rPr>
        <w:t xml:space="preserve"> </w:t>
      </w:r>
      <w:r>
        <w:t>Alimentos.</w:t>
      </w:r>
    </w:p>
    <w:p w:rsidR="00FF7AAC" w:rsidRDefault="00FF7AAC">
      <w:pPr>
        <w:pStyle w:val="Textoindependiente"/>
      </w:pPr>
    </w:p>
    <w:p w:rsidR="00FF7AAC" w:rsidRDefault="003631DD">
      <w:pPr>
        <w:pStyle w:val="Textoindependiente"/>
        <w:ind w:left="101"/>
        <w:jc w:val="both"/>
      </w:pPr>
      <w:r>
        <w:t xml:space="preserve">Palabras Clave: validación, cromatografía gaseosa, plaguicidas, </w:t>
      </w:r>
      <w:proofErr w:type="spellStart"/>
      <w:r>
        <w:t>QuEChERS</w:t>
      </w:r>
      <w:proofErr w:type="spellEnd"/>
      <w:r>
        <w:t>.</w:t>
      </w:r>
    </w:p>
    <w:sectPr w:rsidR="00FF7AAC" w:rsidSect="00FF7AAC">
      <w:type w:val="continuous"/>
      <w:pgSz w:w="11920" w:h="16840"/>
      <w:pgMar w:top="360" w:right="1600" w:bottom="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F7AAC"/>
    <w:rsid w:val="00032C68"/>
    <w:rsid w:val="003631DD"/>
    <w:rsid w:val="004A46AB"/>
    <w:rsid w:val="00C7714C"/>
    <w:rsid w:val="00FF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F7AAC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7A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F7AAC"/>
    <w:rPr>
      <w:sz w:val="24"/>
      <w:szCs w:val="24"/>
    </w:rPr>
  </w:style>
  <w:style w:type="paragraph" w:styleId="Ttulo">
    <w:name w:val="Title"/>
    <w:basedOn w:val="Normal"/>
    <w:uiPriority w:val="1"/>
    <w:qFormat/>
    <w:rsid w:val="00FF7AAC"/>
    <w:pPr>
      <w:spacing w:line="272" w:lineRule="exact"/>
      <w:ind w:left="56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FF7AAC"/>
  </w:style>
  <w:style w:type="paragraph" w:customStyle="1" w:styleId="TableParagraph">
    <w:name w:val="Table Paragraph"/>
    <w:basedOn w:val="Normal"/>
    <w:uiPriority w:val="1"/>
    <w:qFormat/>
    <w:rsid w:val="00FF7AA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ustina.sanz@anmat.gob.a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2664</Characters>
  <Application>Microsoft Office Word</Application>
  <DocSecurity>0</DocSecurity>
  <Lines>22</Lines>
  <Paragraphs>6</Paragraphs>
  <ScaleCrop>false</ScaleCrop>
  <Company>Hewlett-Packard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Agustina Sanz CICYTAC-2022.docx</dc:title>
  <dc:creator>Vero</dc:creator>
  <cp:lastModifiedBy>Vero</cp:lastModifiedBy>
  <cp:revision>2</cp:revision>
  <dcterms:created xsi:type="dcterms:W3CDTF">2022-09-07T12:23:00Z</dcterms:created>
  <dcterms:modified xsi:type="dcterms:W3CDTF">2022-09-07T12:23:00Z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LastSaved">
    <vt:filetime>2022-09-01T00:00:00Z</vt:filetime>
  </property>
</Properties>
</file>