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4E68" w14:textId="77777777" w:rsidR="00C66524" w:rsidRDefault="0058043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Estabilidad sensorial de aceite de canola aportada por alternativas naturales: Utilización de aceites esenciales de </w:t>
      </w:r>
      <w:proofErr w:type="spellStart"/>
      <w:r>
        <w:rPr>
          <w:b/>
          <w:color w:val="000000"/>
        </w:rPr>
        <w:t>suico</w:t>
      </w:r>
      <w:proofErr w:type="spellEnd"/>
      <w:r>
        <w:rPr>
          <w:b/>
          <w:color w:val="000000"/>
        </w:rPr>
        <w:t xml:space="preserve">, peperina y orégano </w:t>
      </w:r>
    </w:p>
    <w:p w14:paraId="2916B24A" w14:textId="77777777" w:rsidR="00C66524" w:rsidRDefault="00C6652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color w:val="000000"/>
        </w:rPr>
      </w:pPr>
    </w:p>
    <w:p w14:paraId="66C297CC" w14:textId="77777777" w:rsidR="00C66524" w:rsidRDefault="0058043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Fushimi M (1), </w:t>
      </w:r>
      <w:proofErr w:type="spellStart"/>
      <w:r>
        <w:t>Oroná</w:t>
      </w:r>
      <w:proofErr w:type="spellEnd"/>
      <w:r>
        <w:t xml:space="preserve"> ME</w:t>
      </w:r>
      <w:r>
        <w:rPr>
          <w:color w:val="000000"/>
        </w:rPr>
        <w:t xml:space="preserve"> (2), Barbero AD (</w:t>
      </w:r>
      <w:r>
        <w:t>2</w:t>
      </w:r>
      <w:r>
        <w:rPr>
          <w:color w:val="000000"/>
        </w:rPr>
        <w:t xml:space="preserve">), </w:t>
      </w:r>
      <w:proofErr w:type="spellStart"/>
      <w:r>
        <w:t>Lambir</w:t>
      </w:r>
      <w:proofErr w:type="spellEnd"/>
      <w:r>
        <w:t xml:space="preserve"> Jacobo JA (2),</w:t>
      </w:r>
      <w:r>
        <w:rPr>
          <w:color w:val="000000"/>
        </w:rPr>
        <w:t xml:space="preserve"> Nepote V (1,</w:t>
      </w:r>
      <w:r>
        <w:t>3</w:t>
      </w:r>
      <w:r>
        <w:rPr>
          <w:color w:val="000000"/>
        </w:rPr>
        <w:t xml:space="preserve">), </w:t>
      </w:r>
      <w:r>
        <w:t xml:space="preserve">Ryan L </w:t>
      </w:r>
      <w:r>
        <w:rPr>
          <w:color w:val="000000"/>
        </w:rPr>
        <w:t>(</w:t>
      </w:r>
      <w:r>
        <w:t>4</w:t>
      </w:r>
      <w:r>
        <w:rPr>
          <w:color w:val="000000"/>
        </w:rPr>
        <w:t>), Quiroga PR (1,</w:t>
      </w:r>
      <w:r>
        <w:t>2</w:t>
      </w:r>
      <w:r>
        <w:rPr>
          <w:color w:val="000000"/>
        </w:rPr>
        <w:t>).</w:t>
      </w:r>
    </w:p>
    <w:p w14:paraId="524661EC" w14:textId="77777777" w:rsidR="00C66524" w:rsidRDefault="00C6652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color w:val="000000"/>
        </w:rPr>
      </w:pPr>
    </w:p>
    <w:p w14:paraId="71277B64" w14:textId="65468039" w:rsidR="00C66524" w:rsidRDefault="005804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color w:val="000000"/>
        </w:rPr>
      </w:pPr>
      <w:r>
        <w:t>Instituto Multidisciplinario de Biología Vegetal (IMBIV-CONICET), Av. Vélez Sarsfield 1611,</w:t>
      </w:r>
      <w:r w:rsidR="0010751C">
        <w:t xml:space="preserve"> </w:t>
      </w:r>
      <w:r>
        <w:t>Córdoba, Córdoba, Argentina.</w:t>
      </w:r>
    </w:p>
    <w:p w14:paraId="12B5914F" w14:textId="77777777" w:rsidR="00C66524" w:rsidRDefault="005804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color w:val="000000"/>
        </w:rPr>
      </w:pPr>
      <w:r>
        <w:t>Facultad de Ciencias Agropecuarias, Universidad Nacional de Córdoba, Córdoba, Córdoba, Argentina.</w:t>
      </w:r>
    </w:p>
    <w:p w14:paraId="5A943F6A" w14:textId="77777777" w:rsidR="00C66524" w:rsidRDefault="005804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color w:val="000000"/>
        </w:rPr>
      </w:pPr>
      <w:r>
        <w:t>Facultad de Ciencias Exactas, Físicas y Naturales, Universidad Nacional de Córdoba, Córdoba, Córdoba, Argentina.</w:t>
      </w:r>
    </w:p>
    <w:p w14:paraId="4EC4982E" w14:textId="3D167B4F" w:rsidR="00C66524" w:rsidRPr="0010751C" w:rsidRDefault="0058043C" w:rsidP="001075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color w:val="000000"/>
        </w:rPr>
      </w:pPr>
      <w:r>
        <w:t xml:space="preserve">Escuela de Nutrición, Facultad de Ciencias </w:t>
      </w:r>
      <w:proofErr w:type="spellStart"/>
      <w:proofErr w:type="gramStart"/>
      <w:r>
        <w:t>Médicas,Universidad</w:t>
      </w:r>
      <w:proofErr w:type="spellEnd"/>
      <w:proofErr w:type="gramEnd"/>
      <w:r>
        <w:t xml:space="preserve"> Nacional de Córdoba, </w:t>
      </w:r>
      <w:proofErr w:type="spellStart"/>
      <w:r>
        <w:t>Bvld</w:t>
      </w:r>
      <w:proofErr w:type="spellEnd"/>
      <w:r>
        <w:t xml:space="preserve"> de la Reforma s/n, Córdoba, Córdoba, Argentina.</w:t>
      </w:r>
    </w:p>
    <w:p w14:paraId="670EEDC8" w14:textId="77777777" w:rsidR="00C66524" w:rsidRDefault="0058043C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melifushimi@mi.unc.edu.ar</w:t>
      </w:r>
    </w:p>
    <w:p w14:paraId="42C50007" w14:textId="77777777" w:rsidR="00C66524" w:rsidRPr="0024037F" w:rsidRDefault="0058043C" w:rsidP="0024037F">
      <w:pPr>
        <w:spacing w:line="240" w:lineRule="auto"/>
        <w:ind w:leftChars="0" w:left="-2" w:firstLineChars="0" w:firstLine="0"/>
      </w:pPr>
      <w:r w:rsidRPr="0024037F">
        <w:t>La principal causa de deterioro en alimentos de elevado contenido graso son las reacciones de oxidación de los lípidos. Los aceites esenciales (</w:t>
      </w:r>
      <w:proofErr w:type="spellStart"/>
      <w:r w:rsidRPr="0024037F">
        <w:t>AEs</w:t>
      </w:r>
      <w:proofErr w:type="spellEnd"/>
      <w:r w:rsidRPr="0024037F">
        <w:t xml:space="preserve">) son compuestos de origen natural con capacidad antioxidante y con potencial para ser utilizados como conservantes de alimentos, siendo seguros para el consumo humano. El objetivo del trabajo fue determinar la composición de </w:t>
      </w:r>
      <w:proofErr w:type="spellStart"/>
      <w:r w:rsidRPr="0024037F">
        <w:t>AEs</w:t>
      </w:r>
      <w:proofErr w:type="spellEnd"/>
      <w:r w:rsidRPr="0024037F">
        <w:t xml:space="preserve"> de </w:t>
      </w:r>
      <w:proofErr w:type="spellStart"/>
      <w:r w:rsidRPr="0024037F">
        <w:t>suico</w:t>
      </w:r>
      <w:proofErr w:type="spellEnd"/>
      <w:r w:rsidRPr="0024037F">
        <w:t xml:space="preserve"> (AE-S), peperina (AE-P) y orégano (AE-O), el contenido de fenoles totales (CFT), y evaluar su desempeño en la preservación organoléptica de aceite de canola (AC) mediante un ensayo de oxidación acelerada, utilizando BHT como antioxidante sintético de referencia. </w:t>
      </w:r>
      <w:r w:rsidR="00262D44" w:rsidRPr="00262D44">
        <w:t xml:space="preserve">La composición química se determinó por GC-MS y el </w:t>
      </w:r>
      <w:r w:rsidR="00B22614">
        <w:t>CFT</w:t>
      </w:r>
      <w:r w:rsidR="00262D44" w:rsidRPr="00262D44">
        <w:t xml:space="preserve"> por </w:t>
      </w:r>
      <w:proofErr w:type="spellStart"/>
      <w:r w:rsidR="00262D44" w:rsidRPr="00262D44">
        <w:t>Folin-Ciocalteau</w:t>
      </w:r>
      <w:proofErr w:type="spellEnd"/>
      <w:r w:rsidR="00262D44">
        <w:t xml:space="preserve">. </w:t>
      </w:r>
      <w:r w:rsidRPr="0024037F">
        <w:t xml:space="preserve">Se agregó al AC 0.02 % (p/p) de los </w:t>
      </w:r>
      <w:proofErr w:type="spellStart"/>
      <w:r w:rsidRPr="0024037F">
        <w:t>AEs</w:t>
      </w:r>
      <w:proofErr w:type="spellEnd"/>
      <w:r w:rsidRPr="0024037F">
        <w:t xml:space="preserve">: AC-S, AC-P y AC-O. Se utilizó como muestra control AC sin </w:t>
      </w:r>
      <w:proofErr w:type="spellStart"/>
      <w:r w:rsidRPr="0024037F">
        <w:t>AEs</w:t>
      </w:r>
      <w:proofErr w:type="spellEnd"/>
      <w:r w:rsidRPr="0024037F">
        <w:t xml:space="preserve"> (AC-C) y como referencia AC con 0.02 % (p/p) de BHT (AC-BHT). El desempeño en la preservación organoléptica se evaluó mediante un almacenaje a 40°C de los productos elaborados durante 42 días, con extracción de muestras cada 7 días. Se realizó un análisis sensorial </w:t>
      </w:r>
      <w:r w:rsidR="00262D44">
        <w:t xml:space="preserve">descriptivo </w:t>
      </w:r>
      <w:r w:rsidRPr="0024037F">
        <w:t xml:space="preserve">de los atributos “olor a oxidado”, “olor a aceite de canola” y “olor a aceite esencial”, con </w:t>
      </w:r>
      <w:r w:rsidR="00262D44">
        <w:t xml:space="preserve">un panel de 8 jueces entrenados, utilizando </w:t>
      </w:r>
      <w:r w:rsidRPr="0024037F">
        <w:t xml:space="preserve">una escala de 0 a 150 puntos, donde cero es ausencia del atributo y 150 el máximo valor posible. </w:t>
      </w:r>
      <w:r w:rsidR="005E3980">
        <w:t xml:space="preserve">Los datos </w:t>
      </w:r>
      <w:r w:rsidR="009472DD">
        <w:t xml:space="preserve">(n=3) </w:t>
      </w:r>
      <w:r w:rsidR="005E3980">
        <w:t xml:space="preserve">se analizaron estadísticamente mediante ANOVA y test </w:t>
      </w:r>
      <w:r w:rsidR="00817E08">
        <w:t>DGC</w:t>
      </w:r>
      <w:r w:rsidR="005E3980">
        <w:t xml:space="preserve"> (α=0</w:t>
      </w:r>
      <w:r w:rsidR="00292CBA">
        <w:t>.</w:t>
      </w:r>
      <w:r w:rsidR="005E3980">
        <w:t xml:space="preserve">05). </w:t>
      </w:r>
      <w:r w:rsidRPr="0024037F">
        <w:t>Los principales componentes del AE-S fueron β-</w:t>
      </w:r>
      <w:proofErr w:type="spellStart"/>
      <w:r w:rsidRPr="0024037F">
        <w:t>ocimene</w:t>
      </w:r>
      <w:proofErr w:type="spellEnd"/>
      <w:r w:rsidRPr="0024037F">
        <w:t xml:space="preserve"> (24.97 %), 4-etil-4-methylheptano (22.71 %), </w:t>
      </w:r>
      <w:proofErr w:type="spellStart"/>
      <w:r w:rsidRPr="0024037F">
        <w:t>trans-tagetona</w:t>
      </w:r>
      <w:proofErr w:type="spellEnd"/>
      <w:r w:rsidRPr="0024037F">
        <w:t xml:space="preserve"> (13.25 %), </w:t>
      </w:r>
      <w:proofErr w:type="spellStart"/>
      <w:r w:rsidRPr="0024037F">
        <w:t>trans-verbenone</w:t>
      </w:r>
      <w:proofErr w:type="spellEnd"/>
      <w:r w:rsidRPr="0024037F">
        <w:t xml:space="preserve"> (11.41 %), cis-</w:t>
      </w:r>
      <w:proofErr w:type="spellStart"/>
      <w:r w:rsidRPr="0024037F">
        <w:t>verbenone</w:t>
      </w:r>
      <w:proofErr w:type="spellEnd"/>
      <w:r w:rsidRPr="0024037F">
        <w:t xml:space="preserve"> (10.29 %) y limoneno (5.74 %). En el AE-P los principales componentes fueron mentona (54 %), </w:t>
      </w:r>
      <w:proofErr w:type="spellStart"/>
      <w:r w:rsidRPr="0024037F">
        <w:t>pulegona</w:t>
      </w:r>
      <w:proofErr w:type="spellEnd"/>
      <w:r w:rsidRPr="0024037F">
        <w:t xml:space="preserve"> (32.97 %) y limoneno (2.19 %). Para el AE-O se encontró principalmente timol (18.98 %), o-</w:t>
      </w:r>
      <w:proofErr w:type="spellStart"/>
      <w:r w:rsidRPr="0024037F">
        <w:t>cimeno</w:t>
      </w:r>
      <w:proofErr w:type="spellEnd"/>
      <w:r w:rsidRPr="0024037F">
        <w:t xml:space="preserve"> (16.34 %), γ−</w:t>
      </w:r>
      <w:proofErr w:type="spellStart"/>
      <w:r w:rsidRPr="0024037F">
        <w:t>terpineno</w:t>
      </w:r>
      <w:proofErr w:type="spellEnd"/>
      <w:r w:rsidRPr="0024037F">
        <w:t xml:space="preserve"> (16 %), 4-terpineol (11.14 %), α-</w:t>
      </w:r>
      <w:proofErr w:type="spellStart"/>
      <w:r w:rsidRPr="0024037F">
        <w:t>terpineno</w:t>
      </w:r>
      <w:proofErr w:type="spellEnd"/>
      <w:r w:rsidRPr="0024037F">
        <w:t xml:space="preserve"> (6.31 %), carvacrol (3.15 %) y pineno (2.53 %). El AE-O presentó el mayor </w:t>
      </w:r>
      <w:r w:rsidR="004218CD">
        <w:t>CFT</w:t>
      </w:r>
      <w:r w:rsidRPr="0024037F">
        <w:t xml:space="preserve"> (94 mg ácido gálico</w:t>
      </w:r>
      <w:r w:rsidR="0098248A">
        <w:t>/</w:t>
      </w:r>
      <w:proofErr w:type="spellStart"/>
      <w:r w:rsidRPr="0024037F">
        <w:t>mL</w:t>
      </w:r>
      <w:proofErr w:type="spellEnd"/>
      <w:r w:rsidRPr="0024037F">
        <w:t>) seguido de los aceites esenciales de AE-S y AE-P (39 mg y 7 mg ácido gálico</w:t>
      </w:r>
      <w:r w:rsidR="0098248A">
        <w:t>/</w:t>
      </w:r>
      <w:proofErr w:type="spellStart"/>
      <w:r w:rsidRPr="0024037F">
        <w:t>mL</w:t>
      </w:r>
      <w:proofErr w:type="spellEnd"/>
      <w:r w:rsidRPr="0024037F">
        <w:t xml:space="preserve">, respectivamente). En el análisis sensorial descriptivo, el puntaje para el atributo “olor a oxidado” aumentó durante el almacenaje para todos los tratamientos. </w:t>
      </w:r>
      <w:r w:rsidR="004218CD">
        <w:t xml:space="preserve">En el día 21, las muestras con </w:t>
      </w:r>
      <w:r w:rsidRPr="0024037F">
        <w:t xml:space="preserve">agregado de </w:t>
      </w:r>
      <w:proofErr w:type="spellStart"/>
      <w:r w:rsidRPr="0024037F">
        <w:t>AEs</w:t>
      </w:r>
      <w:proofErr w:type="spellEnd"/>
      <w:r w:rsidRPr="0024037F">
        <w:t xml:space="preserve"> presentaron los menores valores (11.7, 8.7 y 7.3 puntos para las muestras AC-S, AC-P y AC-O, respectivamente) mostrando diferencias significativas con las muestras AC-C y AC-BHT (14.7 y 12.3 puntos, respectivamente). Al día 42, AC-O presentó diferencias significativas frente al resto de los tratamientos, </w:t>
      </w:r>
      <w:r w:rsidRPr="0024037F">
        <w:lastRenderedPageBreak/>
        <w:t>siendo el de menor valor (14.0 puntos). AC-P y AC-S mostraron valores intermedios (16.67 y 19.0 puntos, respectivamente), presentando diferencias estadísticamente significativas con AC-C y AC-BHT (23.0 y 21.67 puntos, respectivamente). El atributo “olor a AC” no mostró diferencias significativas durante el almacenaje. El atributo “olor a AE”, disminuyó duran</w:t>
      </w:r>
      <w:r w:rsidR="004218CD">
        <w:t>te el almacenaje siendo mayor dicha</w:t>
      </w:r>
      <w:r w:rsidRPr="0024037F">
        <w:t xml:space="preserve"> disminución para la muestra AC-S. </w:t>
      </w:r>
      <w:r w:rsidR="00EE1BDB">
        <w:t>Se</w:t>
      </w:r>
      <w:r w:rsidRPr="0024037F">
        <w:t xml:space="preserve"> concluye que estos </w:t>
      </w:r>
      <w:proofErr w:type="spellStart"/>
      <w:r w:rsidRPr="0024037F">
        <w:t>AEs</w:t>
      </w:r>
      <w:proofErr w:type="spellEnd"/>
      <w:r w:rsidRPr="0024037F">
        <w:t>, y en particular el de orégano, constituyen una alternativa natural para conservar las características organolépticas de aceites vegetales, posiblemente por su contenido en fenoles.</w:t>
      </w:r>
    </w:p>
    <w:p w14:paraId="1A9ED560" w14:textId="77777777" w:rsidR="00C66524" w:rsidRPr="0024037F" w:rsidRDefault="0058043C" w:rsidP="0024037F">
      <w:pPr>
        <w:spacing w:line="240" w:lineRule="auto"/>
        <w:ind w:leftChars="0" w:left="-2" w:firstLineChars="0" w:firstLine="0"/>
      </w:pPr>
      <w:r w:rsidRPr="0024037F">
        <w:t xml:space="preserve">Palabras Clave: antioxidantes, conservación, </w:t>
      </w:r>
      <w:proofErr w:type="spellStart"/>
      <w:r w:rsidRPr="0024037F">
        <w:t>tagetes</w:t>
      </w:r>
      <w:proofErr w:type="spellEnd"/>
      <w:r w:rsidRPr="0024037F">
        <w:t xml:space="preserve"> minuta l, </w:t>
      </w:r>
      <w:proofErr w:type="spellStart"/>
      <w:r w:rsidRPr="0024037F">
        <w:t>minthostachys</w:t>
      </w:r>
      <w:proofErr w:type="spellEnd"/>
      <w:r w:rsidRPr="0024037F">
        <w:t xml:space="preserve"> </w:t>
      </w:r>
      <w:proofErr w:type="spellStart"/>
      <w:r w:rsidRPr="0024037F">
        <w:t>verticillata</w:t>
      </w:r>
      <w:proofErr w:type="spellEnd"/>
      <w:r w:rsidRPr="0024037F">
        <w:t xml:space="preserve"> G, </w:t>
      </w:r>
      <w:proofErr w:type="spellStart"/>
      <w:r w:rsidRPr="0024037F">
        <w:t>origanum</w:t>
      </w:r>
      <w:proofErr w:type="spellEnd"/>
      <w:r w:rsidRPr="0024037F">
        <w:t xml:space="preserve"> </w:t>
      </w:r>
      <w:proofErr w:type="spellStart"/>
      <w:r w:rsidRPr="0024037F">
        <w:t>vulgare</w:t>
      </w:r>
      <w:proofErr w:type="spellEnd"/>
    </w:p>
    <w:p w14:paraId="5A6C8CA1" w14:textId="77777777" w:rsidR="00C66524" w:rsidRDefault="00C6652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</w:rPr>
      </w:pPr>
    </w:p>
    <w:p w14:paraId="115BE4A4" w14:textId="77777777" w:rsidR="00C66524" w:rsidRDefault="00C6652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</w:rPr>
      </w:pPr>
    </w:p>
    <w:p w14:paraId="0D5F2D7D" w14:textId="77777777" w:rsidR="00C66524" w:rsidRDefault="00C6652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</w:rPr>
      </w:pPr>
    </w:p>
    <w:sectPr w:rsidR="00C66524" w:rsidSect="00C6652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F7E1" w14:textId="77777777" w:rsidR="008C1732" w:rsidRDefault="008C1732" w:rsidP="0024037F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45C7BCA8" w14:textId="77777777" w:rsidR="008C1732" w:rsidRDefault="008C1732" w:rsidP="0024037F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2D63" w14:textId="77777777" w:rsidR="008C1732" w:rsidRDefault="008C1732" w:rsidP="0024037F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650CA9FB" w14:textId="77777777" w:rsidR="008C1732" w:rsidRDefault="008C1732" w:rsidP="0024037F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DD47" w14:textId="77777777" w:rsidR="00C66524" w:rsidRDefault="0058043C">
    <w:pPr>
      <w:pBdr>
        <w:top w:val="nil"/>
        <w:left w:val="nil"/>
        <w:bottom w:val="single" w:sz="4" w:space="1" w:color="000000"/>
        <w:right w:val="nil"/>
        <w:between w:val="nil"/>
      </w:pBdr>
      <w:spacing w:before="0"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2022)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DF4F938" wp14:editId="0A099E22">
          <wp:simplePos x="0" y="0"/>
          <wp:positionH relativeFrom="column">
            <wp:posOffset>5721</wp:posOffset>
          </wp:positionH>
          <wp:positionV relativeFrom="paragraph">
            <wp:posOffset>-274949</wp:posOffset>
          </wp:positionV>
          <wp:extent cx="676275" cy="65722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491F"/>
    <w:multiLevelType w:val="multilevel"/>
    <w:tmpl w:val="99943C18"/>
    <w:lvl w:ilvl="0">
      <w:start w:val="1"/>
      <w:numFmt w:val="decimal"/>
      <w:lvlText w:val="(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107000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24"/>
    <w:rsid w:val="0010751C"/>
    <w:rsid w:val="00126B43"/>
    <w:rsid w:val="0024037F"/>
    <w:rsid w:val="00262D44"/>
    <w:rsid w:val="00292CBA"/>
    <w:rsid w:val="002D08B2"/>
    <w:rsid w:val="004218CD"/>
    <w:rsid w:val="004F1063"/>
    <w:rsid w:val="005013AE"/>
    <w:rsid w:val="005311C4"/>
    <w:rsid w:val="0058043C"/>
    <w:rsid w:val="005E3980"/>
    <w:rsid w:val="00710A92"/>
    <w:rsid w:val="007114CD"/>
    <w:rsid w:val="00786D0D"/>
    <w:rsid w:val="007D73D5"/>
    <w:rsid w:val="00817E08"/>
    <w:rsid w:val="008C1732"/>
    <w:rsid w:val="009472DD"/>
    <w:rsid w:val="0098248A"/>
    <w:rsid w:val="00A05887"/>
    <w:rsid w:val="00A10483"/>
    <w:rsid w:val="00A92CE9"/>
    <w:rsid w:val="00AE7DF2"/>
    <w:rsid w:val="00B22614"/>
    <w:rsid w:val="00B97839"/>
    <w:rsid w:val="00C66524"/>
    <w:rsid w:val="00C722D4"/>
    <w:rsid w:val="00CD7F92"/>
    <w:rsid w:val="00E87157"/>
    <w:rsid w:val="00EE1BDB"/>
    <w:rsid w:val="00FA6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47F"/>
  <w15:docId w15:val="{AAABAF71-C6D4-42FC-BE9D-098FDC09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before="240" w:after="240" w:line="360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2"/>
    <w:qFormat/>
    <w:rsid w:val="008D1499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446F2A"/>
    <w:pPr>
      <w:spacing w:after="200" w:line="276" w:lineRule="auto"/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46F2A"/>
    <w:pPr>
      <w:spacing w:after="200" w:line="276" w:lineRule="auto"/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46F2A"/>
    <w:pPr>
      <w:spacing w:after="200" w:line="276" w:lineRule="auto"/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uiPriority w:val="9"/>
    <w:semiHidden/>
    <w:unhideWhenUsed/>
    <w:qFormat/>
    <w:rsid w:val="00446F2A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2"/>
    <w:next w:val="Normal2"/>
    <w:uiPriority w:val="9"/>
    <w:semiHidden/>
    <w:unhideWhenUsed/>
    <w:qFormat/>
    <w:rsid w:val="00446F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uiPriority w:val="9"/>
    <w:semiHidden/>
    <w:unhideWhenUsed/>
    <w:qFormat/>
    <w:rsid w:val="00446F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66524"/>
  </w:style>
  <w:style w:type="table" w:customStyle="1" w:styleId="TableNormal">
    <w:name w:val="Table Normal"/>
    <w:rsid w:val="00C665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uiPriority w:val="10"/>
    <w:qFormat/>
    <w:rsid w:val="00446F2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665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665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665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0">
    <w:name w:val="Normal1"/>
    <w:rsid w:val="00446F2A"/>
  </w:style>
  <w:style w:type="table" w:customStyle="1" w:styleId="TableNormal3">
    <w:name w:val="Table Normal"/>
    <w:rsid w:val="00446F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46F2A"/>
  </w:style>
  <w:style w:type="table" w:customStyle="1" w:styleId="TableNormal4">
    <w:name w:val="Table Normal"/>
    <w:rsid w:val="00446F2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446F2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446F2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446F2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446F2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446F2A"/>
    <w:pPr>
      <w:spacing w:after="0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446F2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446F2A"/>
    <w:pPr>
      <w:spacing w:after="0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446F2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446F2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446F2A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446F2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C665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sid w:val="00C665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6524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6524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F155C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20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20A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62D44"/>
    <w:pPr>
      <w:spacing w:before="0" w:after="0" w:line="240" w:lineRule="auto"/>
      <w:ind w:firstLine="0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ncPKGxUFtVktpC1qtor1/awaBA==">AMUW2mWJdi7ucI8OqEm5tbZXHJn3ZQcfAv38nEnnf0J2WfxvyDmkPRqFwwVnD6sxmGb2mFSluwvu3zC3gqPUYu8tAG/MZ+0x+PTliJ48r6XXxGkVT97xZiDoJqgo+1npZ2hh6WWP8V5wgVpLkCYT/gXajWdp4R29tA==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Revisor</cp:lastModifiedBy>
  <cp:revision>2</cp:revision>
  <dcterms:created xsi:type="dcterms:W3CDTF">2022-08-17T16:21:00Z</dcterms:created>
  <dcterms:modified xsi:type="dcterms:W3CDTF">2022-08-17T16:21:00Z</dcterms:modified>
</cp:coreProperties>
</file>