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9960F" w14:textId="37A52E15" w:rsidR="00D76D88" w:rsidRPr="004F7160" w:rsidRDefault="004C1750">
      <w:pPr>
        <w:spacing w:after="0" w:line="240" w:lineRule="auto"/>
        <w:ind w:left="0" w:hanging="2"/>
        <w:jc w:val="center"/>
        <w:rPr>
          <w:color w:val="FF0000"/>
          <w:lang w:val="es-ES"/>
        </w:rPr>
      </w:pPr>
      <w:r w:rsidRPr="004C1750">
        <w:rPr>
          <w:b/>
          <w:color w:val="000000"/>
        </w:rPr>
        <w:t>R</w:t>
      </w:r>
      <w:r w:rsidR="00A90A4F" w:rsidRPr="004C1750">
        <w:rPr>
          <w:b/>
          <w:color w:val="000000"/>
        </w:rPr>
        <w:t xml:space="preserve">evalorización de okara y bagazo de cerveza </w:t>
      </w:r>
      <w:r w:rsidR="00684C8F">
        <w:rPr>
          <w:b/>
          <w:color w:val="000000"/>
        </w:rPr>
        <w:t>hacia el fortalecimiento</w:t>
      </w:r>
      <w:r w:rsidR="00717E9D">
        <w:rPr>
          <w:b/>
          <w:color w:val="000000"/>
        </w:rPr>
        <w:t xml:space="preserve"> </w:t>
      </w:r>
      <w:r w:rsidR="00A90A4F" w:rsidRPr="004C1750">
        <w:rPr>
          <w:b/>
          <w:color w:val="000000"/>
        </w:rPr>
        <w:t xml:space="preserve">de la economía circular en el proceso productivo de un alimento balanceado para ratones </w:t>
      </w:r>
      <w:r w:rsidR="00A90A4F">
        <w:rPr>
          <w:b/>
          <w:color w:val="000000"/>
        </w:rPr>
        <w:t xml:space="preserve">de experimentación. </w:t>
      </w:r>
    </w:p>
    <w:p w14:paraId="235EA035" w14:textId="77777777" w:rsidR="00A90A4F" w:rsidRDefault="00A90A4F" w:rsidP="004C1750">
      <w:pPr>
        <w:pStyle w:val="NormalWeb"/>
        <w:spacing w:before="0" w:beforeAutospacing="0" w:after="0" w:afterAutospacing="0"/>
        <w:ind w:hanging="2"/>
        <w:jc w:val="center"/>
        <w:rPr>
          <w:rStyle w:val="Textoennegrita"/>
          <w:rFonts w:asciiTheme="minorHAnsi" w:hAnsiTheme="minorHAnsi"/>
          <w:sz w:val="22"/>
          <w:szCs w:val="22"/>
        </w:rPr>
      </w:pPr>
    </w:p>
    <w:p w14:paraId="0034D42B" w14:textId="77777777" w:rsidR="004C1750" w:rsidRDefault="004C1750" w:rsidP="004C1750">
      <w:pPr>
        <w:pStyle w:val="NormalWeb"/>
        <w:spacing w:before="0" w:beforeAutospacing="0" w:after="0" w:afterAutospacing="0"/>
        <w:ind w:hanging="2"/>
        <w:jc w:val="center"/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</w:pPr>
      <w:proofErr w:type="spellStart"/>
      <w:r w:rsidRPr="00A90A4F">
        <w:rPr>
          <w:rStyle w:val="Textoennegrita"/>
          <w:rFonts w:ascii="Arial" w:hAnsi="Arial" w:cs="Arial"/>
          <w:b w:val="0"/>
          <w:sz w:val="22"/>
          <w:szCs w:val="22"/>
        </w:rPr>
        <w:t>Marchioni</w:t>
      </w:r>
      <w:proofErr w:type="spellEnd"/>
      <w:r w:rsidR="00A90A4F">
        <w:rPr>
          <w:rStyle w:val="Textoennegrita"/>
          <w:rFonts w:ascii="Arial" w:hAnsi="Arial" w:cs="Arial"/>
          <w:b w:val="0"/>
          <w:sz w:val="22"/>
          <w:szCs w:val="22"/>
        </w:rPr>
        <w:t>, S.</w:t>
      </w:r>
      <w:r w:rsidR="00A90A4F" w:rsidRPr="00A90A4F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1</w:t>
      </w:r>
      <w:r w:rsidR="00A90A4F">
        <w:rPr>
          <w:rStyle w:val="Textoennegrita"/>
          <w:rFonts w:ascii="Arial" w:hAnsi="Arial" w:cs="Arial"/>
          <w:b w:val="0"/>
          <w:sz w:val="22"/>
          <w:szCs w:val="22"/>
        </w:rPr>
        <w:t>,</w:t>
      </w:r>
      <w:r w:rsidRP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 Castro</w:t>
      </w:r>
      <w:r w:rsid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 GE.</w:t>
      </w:r>
      <w:r w:rsidR="00A90A4F" w:rsidRP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Pr="00A90A4F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1</w:t>
      </w:r>
      <w:r w:rsidRP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A90A4F">
        <w:rPr>
          <w:rStyle w:val="Textoennegrita"/>
          <w:rFonts w:ascii="Arial" w:hAnsi="Arial" w:cs="Arial"/>
          <w:b w:val="0"/>
          <w:sz w:val="22"/>
          <w:szCs w:val="22"/>
        </w:rPr>
        <w:t>Perino</w:t>
      </w:r>
      <w:proofErr w:type="spellEnd"/>
      <w:r w:rsid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 J.</w:t>
      </w:r>
      <w:r w:rsidRPr="00A90A4F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2</w:t>
      </w:r>
      <w:r w:rsidRP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A90A4F">
        <w:rPr>
          <w:rStyle w:val="Textoennegrita"/>
          <w:rFonts w:ascii="Arial" w:hAnsi="Arial" w:cs="Arial"/>
          <w:b w:val="0"/>
          <w:sz w:val="22"/>
          <w:szCs w:val="22"/>
        </w:rPr>
        <w:t>Campderrós</w:t>
      </w:r>
      <w:proofErr w:type="spellEnd"/>
      <w:r w:rsid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 ME.</w:t>
      </w:r>
      <w:r w:rsidRPr="00A90A4F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1</w:t>
      </w:r>
      <w:r w:rsidRPr="00A90A4F">
        <w:rPr>
          <w:rStyle w:val="Textoennegrita"/>
          <w:rFonts w:ascii="Arial" w:hAnsi="Arial" w:cs="Arial"/>
          <w:b w:val="0"/>
          <w:sz w:val="22"/>
          <w:szCs w:val="22"/>
        </w:rPr>
        <w:t>, Ostermann</w:t>
      </w:r>
      <w:r w:rsidR="00A90A4F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Pr="00A90A4F">
        <w:rPr>
          <w:rStyle w:val="Textoennegrita"/>
          <w:rFonts w:ascii="Arial" w:hAnsi="Arial" w:cs="Arial"/>
          <w:b w:val="0"/>
          <w:sz w:val="22"/>
          <w:szCs w:val="22"/>
        </w:rPr>
        <w:t>Porce</w:t>
      </w:r>
      <w:r w:rsidR="00A90A4F">
        <w:rPr>
          <w:rStyle w:val="Textoennegrita"/>
          <w:rFonts w:ascii="Arial" w:hAnsi="Arial" w:cs="Arial"/>
          <w:b w:val="0"/>
          <w:sz w:val="22"/>
          <w:szCs w:val="22"/>
        </w:rPr>
        <w:t>l MV</w:t>
      </w:r>
      <w:r w:rsidRPr="00A90A4F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1</w:t>
      </w:r>
    </w:p>
    <w:p w14:paraId="05BC30F8" w14:textId="77777777" w:rsidR="00A90A4F" w:rsidRDefault="00A90A4F" w:rsidP="004C1750">
      <w:pPr>
        <w:pStyle w:val="NormalWeb"/>
        <w:spacing w:before="0" w:beforeAutospacing="0" w:after="0" w:afterAutospacing="0"/>
        <w:ind w:hanging="2"/>
        <w:jc w:val="center"/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</w:pPr>
    </w:p>
    <w:p w14:paraId="1EE39E55" w14:textId="77777777" w:rsidR="00530582" w:rsidRDefault="00A90A4F" w:rsidP="00A90A4F">
      <w:pPr>
        <w:spacing w:line="240" w:lineRule="auto"/>
        <w:ind w:left="0" w:hanging="2"/>
      </w:pPr>
      <w:r w:rsidRPr="00A90A4F">
        <w:rPr>
          <w:rStyle w:val="Textoennegrita"/>
          <w:b w:val="0"/>
          <w:lang w:val="es-ES"/>
        </w:rPr>
        <w:t>(</w:t>
      </w:r>
      <w:r w:rsidRPr="00A90A4F">
        <w:rPr>
          <w:rStyle w:val="Textoennegrita"/>
          <w:b w:val="0"/>
        </w:rPr>
        <w:t>1)</w:t>
      </w:r>
      <w:r w:rsidR="004C1750" w:rsidRPr="00A90A4F">
        <w:rPr>
          <w:rStyle w:val="Textoennegrita"/>
          <w:b w:val="0"/>
        </w:rPr>
        <w:t xml:space="preserve"> </w:t>
      </w:r>
      <w:r w:rsidRPr="00A90A4F">
        <w:t>Facultad de Química, Bioquímica y Farmacia</w:t>
      </w:r>
      <w:r w:rsidR="008E0953">
        <w:t xml:space="preserve"> (</w:t>
      </w:r>
      <w:proofErr w:type="spellStart"/>
      <w:r w:rsidR="008E0953">
        <w:t>FQByF</w:t>
      </w:r>
      <w:proofErr w:type="spellEnd"/>
      <w:r w:rsidR="008E0953">
        <w:t>)</w:t>
      </w:r>
      <w:r w:rsidRPr="00A90A4F">
        <w:t>, Universidad Nacional de San Luis. Instituto de Investigaciones e</w:t>
      </w:r>
      <w:r w:rsidR="00530582">
        <w:t>n Tecnología Química (INTEQUI).</w:t>
      </w:r>
    </w:p>
    <w:p w14:paraId="1FAF482E" w14:textId="1D3DEEEF" w:rsidR="00A90A4F" w:rsidRPr="00A90A4F" w:rsidRDefault="00A90A4F" w:rsidP="00A90A4F">
      <w:pPr>
        <w:spacing w:line="240" w:lineRule="auto"/>
        <w:ind w:left="0" w:hanging="2"/>
      </w:pPr>
      <w:bookmarkStart w:id="0" w:name="_GoBack"/>
      <w:bookmarkEnd w:id="0"/>
      <w:r w:rsidRPr="00A90A4F">
        <w:t xml:space="preserve">(2) </w:t>
      </w:r>
      <w:proofErr w:type="spellStart"/>
      <w:r w:rsidRPr="00A90A4F">
        <w:t>Bioterio</w:t>
      </w:r>
      <w:proofErr w:type="spellEnd"/>
      <w:r w:rsidRPr="00A90A4F">
        <w:t xml:space="preserve">, </w:t>
      </w:r>
      <w:proofErr w:type="spellStart"/>
      <w:r w:rsidRPr="00A90A4F">
        <w:t>FQByF</w:t>
      </w:r>
      <w:proofErr w:type="spellEnd"/>
      <w:r w:rsidRPr="00A90A4F">
        <w:t>. Ejercito de los Andes 950. San Luis. Argentina.</w:t>
      </w:r>
    </w:p>
    <w:p w14:paraId="29FE2492" w14:textId="61D215E7" w:rsidR="00530582" w:rsidRDefault="00530582" w:rsidP="004C1750">
      <w:pPr>
        <w:spacing w:after="0" w:line="240" w:lineRule="auto"/>
        <w:ind w:left="0" w:hanging="2"/>
      </w:pPr>
      <w:hyperlink r:id="rId7" w:history="1">
        <w:r w:rsidRPr="00F916F2">
          <w:rPr>
            <w:rStyle w:val="Hipervnculo"/>
          </w:rPr>
          <w:t>mcampd@gmail.com</w:t>
        </w:r>
      </w:hyperlink>
    </w:p>
    <w:p w14:paraId="31492E6A" w14:textId="77777777" w:rsidR="00530582" w:rsidRDefault="00530582" w:rsidP="004C1750">
      <w:pPr>
        <w:spacing w:after="0" w:line="240" w:lineRule="auto"/>
        <w:ind w:left="0" w:hanging="2"/>
        <w:rPr>
          <w:lang w:val="es-ES"/>
        </w:rPr>
      </w:pPr>
    </w:p>
    <w:p w14:paraId="2270C366" w14:textId="21334E66" w:rsidR="004C1750" w:rsidRDefault="004C1750" w:rsidP="004C1750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 xml:space="preserve">Las ratas y ratones han sido y siguen siendo los animales más utilizados para investigación. Estos roedores tienen un ciclo de vida corto por lo que se pueden estudiar y evaluar a lo largo de toda su vida o por varias generaciones. El objetivo de este trabajo fue formular y elaborar un alimento balanceado (AB) con </w:t>
      </w:r>
      <w:r>
        <w:rPr>
          <w:color w:val="000000" w:themeColor="text1"/>
          <w:lang w:val="es-ES"/>
        </w:rPr>
        <w:t xml:space="preserve">los requerimientos nutricionales necesarios para los ratones del </w:t>
      </w:r>
      <w:proofErr w:type="spellStart"/>
      <w:r>
        <w:rPr>
          <w:color w:val="000000" w:themeColor="text1"/>
          <w:lang w:val="es-ES"/>
        </w:rPr>
        <w:t>bioterio</w:t>
      </w:r>
      <w:proofErr w:type="spellEnd"/>
      <w:r>
        <w:rPr>
          <w:color w:val="000000" w:themeColor="text1"/>
          <w:lang w:val="es-ES"/>
        </w:rPr>
        <w:t>. Se buscó fomentar e implementar una economía circular en la que los residuos o subproductos industriales puedan ser utilizados reingresa</w:t>
      </w:r>
      <w:r w:rsidR="00717E9D">
        <w:rPr>
          <w:color w:val="000000" w:themeColor="text1"/>
          <w:lang w:val="es-ES"/>
        </w:rPr>
        <w:t>ndo</w:t>
      </w:r>
      <w:r>
        <w:rPr>
          <w:color w:val="000000" w:themeColor="text1"/>
          <w:lang w:val="es-ES"/>
        </w:rPr>
        <w:t xml:space="preserve"> al sistema productivo</w:t>
      </w:r>
      <w:r w:rsidR="00C83234">
        <w:rPr>
          <w:color w:val="000000" w:themeColor="text1"/>
          <w:lang w:val="es-ES"/>
        </w:rPr>
        <w:t xml:space="preserve">. </w:t>
      </w:r>
      <w:r>
        <w:rPr>
          <w:lang w:val="es-ES"/>
        </w:rPr>
        <w:t>Se planteó la utilización y aprovechamiento de dos subproductos industriales como materias primas</w:t>
      </w:r>
      <w:r w:rsidR="00717E9D">
        <w:rPr>
          <w:lang w:val="es-ES"/>
        </w:rPr>
        <w:t>, teniendo en cuenta principalmente su contenido proteico</w:t>
      </w:r>
      <w:r>
        <w:rPr>
          <w:lang w:val="es-ES"/>
        </w:rPr>
        <w:t xml:space="preserve">: okara (subproducto de la elaboración de leche de soja) y bagazo de cerveza. El AB se elaboró en forma de pellets, por aglomeración y compresión de la mezcla en unidades compactas, mediante un proceso mecánico utilizando presión y calor. Para el balanceo de </w:t>
      </w:r>
      <w:r w:rsidR="008E0953">
        <w:rPr>
          <w:lang w:val="es-ES"/>
        </w:rPr>
        <w:t>las formulaciones</w:t>
      </w:r>
      <w:r>
        <w:rPr>
          <w:lang w:val="es-ES"/>
        </w:rPr>
        <w:t xml:space="preserve"> se utilizó el método del cuadrado de Pearson. La calidad del AB se evaluó considerando la composición fisicoquímica (</w:t>
      </w:r>
      <w:r w:rsidR="00A7217D">
        <w:rPr>
          <w:lang w:val="es-ES"/>
        </w:rPr>
        <w:t xml:space="preserve">según </w:t>
      </w:r>
      <w:r>
        <w:rPr>
          <w:lang w:val="es-ES"/>
        </w:rPr>
        <w:t xml:space="preserve">AOAC), parámetros físicos (peso individual del pellet, densidad aparente y dimensiones) y mediante una evaluación biológica con ratones </w:t>
      </w:r>
      <w:proofErr w:type="spellStart"/>
      <w:r>
        <w:rPr>
          <w:lang w:val="es-ES"/>
        </w:rPr>
        <w:t>Balb</w:t>
      </w:r>
      <w:proofErr w:type="spellEnd"/>
      <w:r>
        <w:rPr>
          <w:lang w:val="es-ES"/>
        </w:rPr>
        <w:t>/c (hembras y machos) registrando diariamente: peso corporal</w:t>
      </w:r>
      <w:r w:rsidR="00774446">
        <w:rPr>
          <w:lang w:val="es-ES"/>
        </w:rPr>
        <w:t xml:space="preserve"> </w:t>
      </w:r>
      <w:r>
        <w:rPr>
          <w:lang w:val="es-ES"/>
        </w:rPr>
        <w:t>(P) y consumo del AB durante 34 días. Se calculó ganancia de peso(GP), consumo del alimento(C</w:t>
      </w:r>
      <w:r w:rsidR="00774446">
        <w:rPr>
          <w:lang w:val="es-ES"/>
        </w:rPr>
        <w:t>S</w:t>
      </w:r>
      <w:r>
        <w:rPr>
          <w:lang w:val="es-ES"/>
        </w:rPr>
        <w:t xml:space="preserve">), el índice de conversión alimenticia(ICA), y la relación de la eficiencia proteica(PER), los resultados se compararon con un lote control alimentado con muestra comercial(MC). </w:t>
      </w:r>
    </w:p>
    <w:p w14:paraId="5B04D391" w14:textId="5D7C0681" w:rsidR="004C1750" w:rsidRDefault="004C1750" w:rsidP="007F44C6">
      <w:pPr>
        <w:spacing w:after="0" w:line="240" w:lineRule="auto"/>
        <w:ind w:left="0" w:hanging="2"/>
        <w:rPr>
          <w:rFonts w:cs="Calibri"/>
          <w:color w:val="000000"/>
          <w:lang w:val="es-ES"/>
        </w:rPr>
      </w:pPr>
      <w:r>
        <w:rPr>
          <w:lang w:val="es-ES"/>
        </w:rPr>
        <w:t xml:space="preserve">Se elaboró y caracterizó okara y bagazo, estos subproductos presentan interés tecnológico y nutricional por su contenido en proteínas y fibras. Implementando el método del cuadrado de Pearson fue posible calcular y establecer el porcentaje de participación en la mezcla de cada materia prima adicionada. Se  </w:t>
      </w:r>
      <w:r w:rsidR="00A7217D">
        <w:rPr>
          <w:lang w:val="es-ES"/>
        </w:rPr>
        <w:t xml:space="preserve">desarrollaron </w:t>
      </w:r>
      <w:r>
        <w:rPr>
          <w:lang w:val="es-ES"/>
        </w:rPr>
        <w:t xml:space="preserve">pellets con características físicas adecuadas para poder ser consumidas por los ratones de experimentación: Dureza=100,04N, Largo=25,2±0,91 mm, Diámetro=13,8±1,1 mm, </w:t>
      </w:r>
      <w:proofErr w:type="spellStart"/>
      <w:r>
        <w:rPr>
          <w:lang w:val="es-ES"/>
        </w:rPr>
        <w:t>ρ</w:t>
      </w:r>
      <w:r w:rsidRPr="00A90A4F">
        <w:rPr>
          <w:vertAlign w:val="subscript"/>
          <w:lang w:val="es-ES"/>
        </w:rPr>
        <w:t>aparente</w:t>
      </w:r>
      <w:proofErr w:type="spellEnd"/>
      <w:r>
        <w:rPr>
          <w:lang w:val="es-ES"/>
        </w:rPr>
        <w:t xml:space="preserve">=0,41±0,2 g/ml, Peso individual= 2,11±0,13 g, </w:t>
      </w:r>
      <w:proofErr w:type="spellStart"/>
      <w:r>
        <w:rPr>
          <w:lang w:val="es-ES"/>
        </w:rPr>
        <w:t>a</w:t>
      </w:r>
      <w:r>
        <w:rPr>
          <w:vertAlign w:val="subscript"/>
          <w:lang w:val="es-ES"/>
        </w:rPr>
        <w:t>w</w:t>
      </w:r>
      <w:proofErr w:type="spellEnd"/>
      <w:r>
        <w:rPr>
          <w:lang w:val="es-ES"/>
        </w:rPr>
        <w:t xml:space="preserve">=0,45±0,01. El AB elaborado presentó la siguiente composición fisicoquímica: </w:t>
      </w:r>
      <w:r>
        <w:rPr>
          <w:color w:val="000000"/>
          <w:lang w:val="es-ES"/>
        </w:rPr>
        <w:t>25,54±0,28% Proteínas, 19,3±0,04% Grasas; 1,50±0,28Fibras; 10,46±0,08% Cenizas; 3,51±0,04% Humedad; 39,69% Hidratos de Carbono</w:t>
      </w:r>
      <w:r>
        <w:rPr>
          <w:lang w:val="es-ES"/>
        </w:rPr>
        <w:t xml:space="preserve">. El </w:t>
      </w:r>
      <w:r w:rsidR="00A90A4F">
        <w:rPr>
          <w:lang w:val="es-ES"/>
        </w:rPr>
        <w:t>lote</w:t>
      </w:r>
      <w:r>
        <w:rPr>
          <w:lang w:val="es-ES"/>
        </w:rPr>
        <w:t xml:space="preserve"> de ratones alimentados con el AB elaborado presentó un mayor aumento de peso que aquellos alimentados con MC, demostrando una buena aceptación, palatabilidad y asimilación</w:t>
      </w:r>
      <w:r w:rsidR="00A90A4F">
        <w:rPr>
          <w:lang w:val="es-ES"/>
        </w:rPr>
        <w:t xml:space="preserve"> del mismo</w:t>
      </w:r>
      <w:r>
        <w:rPr>
          <w:lang w:val="es-ES"/>
        </w:rPr>
        <w:t xml:space="preserve">. Además, se  obtuvo un mejor valor de ICA y un mayor PER, </w:t>
      </w:r>
      <w:r w:rsidR="00A90A4F">
        <w:rPr>
          <w:lang w:val="es-ES"/>
        </w:rPr>
        <w:t>lo que</w:t>
      </w:r>
      <w:r>
        <w:rPr>
          <w:lang w:val="es-ES"/>
        </w:rPr>
        <w:t xml:space="preserve"> nos indicaría que el AB</w:t>
      </w:r>
      <w:r w:rsidR="00A90A4F">
        <w:rPr>
          <w:lang w:val="es-ES"/>
        </w:rPr>
        <w:t xml:space="preserve"> desarrollado en el laboratorio </w:t>
      </w:r>
      <w:r>
        <w:rPr>
          <w:lang w:val="es-ES"/>
        </w:rPr>
        <w:t xml:space="preserve">presenta proteínas de mejor calidad. Finalmente, </w:t>
      </w:r>
      <w:r w:rsidR="00A7217D">
        <w:rPr>
          <w:lang w:val="es-ES"/>
        </w:rPr>
        <w:t>cabe destacar</w:t>
      </w:r>
      <w:r>
        <w:rPr>
          <w:lang w:val="es-ES"/>
        </w:rPr>
        <w:t xml:space="preserve"> que se evidenció un menor consumo diario del AB elaborado debido al contenido graso de esta muestra, lo que proporciona una </w:t>
      </w:r>
      <w:r>
        <w:rPr>
          <w:lang w:val="es-ES"/>
        </w:rPr>
        <w:lastRenderedPageBreak/>
        <w:t>mayor cantidad de calorías por gramo. Esto provoca una disminución del consumo del alimento por que los animales cubren sus necesidades calóricas al ingerir un menor volumen.</w:t>
      </w:r>
      <w:r w:rsidR="007F44C6">
        <w:rPr>
          <w:lang w:val="es-ES"/>
        </w:rPr>
        <w:t xml:space="preserve"> </w:t>
      </w:r>
      <w:r w:rsidR="00A7217D">
        <w:rPr>
          <w:lang w:val="es-ES"/>
        </w:rPr>
        <w:t xml:space="preserve">Las conclusiones </w:t>
      </w:r>
      <w:r w:rsidR="00C42B97">
        <w:rPr>
          <w:lang w:val="es-ES"/>
        </w:rPr>
        <w:t xml:space="preserve">demostraron que </w:t>
      </w:r>
      <w:r>
        <w:rPr>
          <w:rFonts w:cs="Calibri"/>
          <w:color w:val="000000"/>
          <w:lang w:val="es-ES"/>
        </w:rPr>
        <w:t xml:space="preserve"> se desarrolló un proceso que permitió la producción de AB en forma de pellets para ratones de laboratorio. Fue factible la utilización y aprovechamiento de dos subproductos industriales como materias primas para balancear los constituyentes del producto elaborado, logrando una producción sostenible que impacta positivamente en el medioambiente.</w:t>
      </w:r>
    </w:p>
    <w:p w14:paraId="5E513F09" w14:textId="77777777" w:rsidR="00E50E6B" w:rsidRDefault="00E50E6B" w:rsidP="007F44C6">
      <w:pPr>
        <w:spacing w:after="0" w:line="240" w:lineRule="auto"/>
        <w:ind w:left="0" w:hanging="2"/>
        <w:rPr>
          <w:rFonts w:cs="Calibri"/>
          <w:color w:val="000000"/>
          <w:lang w:val="es-ES"/>
        </w:rPr>
      </w:pPr>
    </w:p>
    <w:p w14:paraId="63354A03" w14:textId="77777777" w:rsidR="004C1750" w:rsidRDefault="004C1750" w:rsidP="004C1750">
      <w:pPr>
        <w:ind w:left="0" w:hanging="2"/>
        <w:rPr>
          <w:lang w:val="es-ES"/>
        </w:rPr>
      </w:pPr>
      <w:r>
        <w:rPr>
          <w:rStyle w:val="Textoennegrita"/>
          <w:lang w:val="es-ES"/>
        </w:rPr>
        <w:t>Palabras claves: alimento balanceado, nutrición animal, subproductos industriales, economía circular, evaluación biológica.</w:t>
      </w:r>
    </w:p>
    <w:p w14:paraId="0E653FA4" w14:textId="77777777" w:rsidR="004C1750" w:rsidRDefault="004C1750" w:rsidP="004C1750">
      <w:pPr>
        <w:ind w:left="0" w:hanging="2"/>
        <w:rPr>
          <w:rFonts w:cstheme="minorBidi"/>
          <w:lang w:val="es-ES"/>
        </w:rPr>
      </w:pPr>
    </w:p>
    <w:p w14:paraId="5D47354B" w14:textId="77777777" w:rsidR="001F0C2B" w:rsidRPr="004C1750" w:rsidRDefault="001F0C2B">
      <w:pPr>
        <w:spacing w:after="0" w:line="240" w:lineRule="auto"/>
        <w:ind w:left="0" w:hanging="2"/>
        <w:rPr>
          <w:lang w:val="es-ES"/>
        </w:rPr>
      </w:pPr>
    </w:p>
    <w:p w14:paraId="0FD4595D" w14:textId="77777777" w:rsidR="001F0C2B" w:rsidRDefault="001F0C2B">
      <w:pPr>
        <w:spacing w:after="0" w:line="240" w:lineRule="auto"/>
        <w:ind w:left="0" w:hanging="2"/>
      </w:pPr>
    </w:p>
    <w:sectPr w:rsidR="001F0C2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3870" w16cex:dateUtc="2022-06-21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90536" w16cid:durableId="265C38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2A24A" w14:textId="77777777" w:rsidR="002E4A76" w:rsidRDefault="002E4A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0DBF3F" w14:textId="77777777" w:rsidR="002E4A76" w:rsidRDefault="002E4A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B8E38" w14:textId="77777777" w:rsidR="002E4A76" w:rsidRDefault="002E4A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D8061B" w14:textId="77777777" w:rsidR="002E4A76" w:rsidRDefault="002E4A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41DC" w14:textId="77777777" w:rsidR="001F0C2B" w:rsidRDefault="002101A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F95D952" wp14:editId="62BF229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2B"/>
    <w:rsid w:val="001F0C2B"/>
    <w:rsid w:val="002101A9"/>
    <w:rsid w:val="002E4A76"/>
    <w:rsid w:val="004C1750"/>
    <w:rsid w:val="004F7160"/>
    <w:rsid w:val="00530582"/>
    <w:rsid w:val="005F08D8"/>
    <w:rsid w:val="0061713E"/>
    <w:rsid w:val="00684C8F"/>
    <w:rsid w:val="00690484"/>
    <w:rsid w:val="00700619"/>
    <w:rsid w:val="00717E9D"/>
    <w:rsid w:val="00723D5B"/>
    <w:rsid w:val="00774446"/>
    <w:rsid w:val="007C7485"/>
    <w:rsid w:val="007F44C6"/>
    <w:rsid w:val="008071BF"/>
    <w:rsid w:val="008E0953"/>
    <w:rsid w:val="009404CC"/>
    <w:rsid w:val="00976F54"/>
    <w:rsid w:val="009D61F9"/>
    <w:rsid w:val="00A7217D"/>
    <w:rsid w:val="00A743E1"/>
    <w:rsid w:val="00A90A4F"/>
    <w:rsid w:val="00C42B97"/>
    <w:rsid w:val="00C83234"/>
    <w:rsid w:val="00D4356D"/>
    <w:rsid w:val="00D76D88"/>
    <w:rsid w:val="00E50E6B"/>
    <w:rsid w:val="00E8146E"/>
    <w:rsid w:val="00EE7DD2"/>
    <w:rsid w:val="00F37E0A"/>
    <w:rsid w:val="00F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2ED"/>
  <w15:docId w15:val="{D50224B8-866F-4632-A4E8-A5994228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75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C1750"/>
    <w:rPr>
      <w:b/>
      <w:bCs/>
    </w:rPr>
  </w:style>
  <w:style w:type="paragraph" w:styleId="Revisin">
    <w:name w:val="Revision"/>
    <w:hidden/>
    <w:uiPriority w:val="99"/>
    <w:semiHidden/>
    <w:rsid w:val="0061713E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A721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21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217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1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17D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8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83234"/>
    <w:rPr>
      <w:rFonts w:ascii="Segoe UI" w:hAnsi="Segoe UI" w:cs="Segoe UI"/>
      <w:position w:val="-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ampd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Oster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Marcelo Rosmini</cp:lastModifiedBy>
  <cp:revision>2</cp:revision>
  <dcterms:created xsi:type="dcterms:W3CDTF">2022-08-13T07:50:00Z</dcterms:created>
  <dcterms:modified xsi:type="dcterms:W3CDTF">2022-08-13T07:50:00Z</dcterms:modified>
</cp:coreProperties>
</file>