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441C" w14:textId="27E73108" w:rsidR="00086A30" w:rsidRDefault="0092556F">
      <w:pPr>
        <w:pBdr>
          <w:top w:val="nil"/>
          <w:left w:val="nil"/>
          <w:bottom w:val="nil"/>
          <w:right w:val="nil"/>
          <w:between w:val="nil"/>
        </w:pBdr>
        <w:spacing w:after="0" w:line="240" w:lineRule="auto"/>
        <w:ind w:left="0" w:hanging="2"/>
        <w:jc w:val="center"/>
        <w:rPr>
          <w:b/>
          <w:color w:val="000000"/>
        </w:rPr>
      </w:pPr>
      <w:r w:rsidRPr="0092556F">
        <w:rPr>
          <w:b/>
          <w:color w:val="000000"/>
        </w:rPr>
        <w:t xml:space="preserve">Efecto inhibitorio de </w:t>
      </w:r>
      <w:proofErr w:type="spellStart"/>
      <w:r w:rsidRPr="0092556F">
        <w:rPr>
          <w:b/>
          <w:i/>
          <w:iCs/>
          <w:color w:val="000000"/>
        </w:rPr>
        <w:t>Levilactobacillus</w:t>
      </w:r>
      <w:proofErr w:type="spellEnd"/>
      <w:r w:rsidRPr="0092556F">
        <w:rPr>
          <w:b/>
          <w:i/>
          <w:iCs/>
          <w:color w:val="000000"/>
        </w:rPr>
        <w:t xml:space="preserve"> </w:t>
      </w:r>
      <w:proofErr w:type="spellStart"/>
      <w:r w:rsidRPr="0092556F">
        <w:rPr>
          <w:b/>
          <w:i/>
          <w:iCs/>
          <w:color w:val="000000"/>
        </w:rPr>
        <w:t>brevis</w:t>
      </w:r>
      <w:proofErr w:type="spellEnd"/>
      <w:r w:rsidRPr="0092556F">
        <w:rPr>
          <w:b/>
          <w:color w:val="000000"/>
        </w:rPr>
        <w:t xml:space="preserve"> LBL 1008 sobre </w:t>
      </w:r>
      <w:r w:rsidRPr="0092556F">
        <w:rPr>
          <w:b/>
          <w:i/>
          <w:iCs/>
          <w:color w:val="000000"/>
        </w:rPr>
        <w:t xml:space="preserve">Listeria </w:t>
      </w:r>
      <w:proofErr w:type="spellStart"/>
      <w:r w:rsidRPr="0092556F">
        <w:rPr>
          <w:b/>
          <w:i/>
          <w:iCs/>
          <w:color w:val="000000"/>
        </w:rPr>
        <w:t>monocytogenes</w:t>
      </w:r>
      <w:proofErr w:type="spellEnd"/>
      <w:r w:rsidRPr="0092556F">
        <w:rPr>
          <w:b/>
          <w:color w:val="000000"/>
        </w:rPr>
        <w:t xml:space="preserve"> en granos de choclo enteros incubados a diferentes temperaturas.</w:t>
      </w:r>
    </w:p>
    <w:p w14:paraId="5E51E88C" w14:textId="77777777" w:rsidR="00086A30" w:rsidRDefault="00086A30">
      <w:pPr>
        <w:spacing w:after="0" w:line="240" w:lineRule="auto"/>
        <w:ind w:left="0" w:hanging="2"/>
        <w:jc w:val="center"/>
      </w:pPr>
    </w:p>
    <w:p w14:paraId="07531ECD" w14:textId="05B31B3C" w:rsidR="00086A30" w:rsidRPr="0092556F" w:rsidRDefault="0092556F">
      <w:pPr>
        <w:spacing w:after="0" w:line="240" w:lineRule="auto"/>
        <w:ind w:left="0" w:hanging="2"/>
        <w:jc w:val="center"/>
        <w:rPr>
          <w:lang w:val="en-US"/>
        </w:rPr>
      </w:pPr>
      <w:r w:rsidRPr="0092556F">
        <w:rPr>
          <w:lang w:val="en-US"/>
        </w:rPr>
        <w:t xml:space="preserve">Ortiz S </w:t>
      </w:r>
      <w:r>
        <w:rPr>
          <w:lang w:val="en-US"/>
        </w:rPr>
        <w:t>(1)</w:t>
      </w:r>
      <w:r w:rsidR="005A23F2">
        <w:rPr>
          <w:lang w:val="en-US"/>
        </w:rPr>
        <w:t>,</w:t>
      </w:r>
      <w:r w:rsidRPr="0092556F">
        <w:rPr>
          <w:lang w:val="en-US"/>
        </w:rPr>
        <w:t xml:space="preserve"> Gallo A</w:t>
      </w:r>
      <w:r>
        <w:rPr>
          <w:lang w:val="en-US"/>
        </w:rPr>
        <w:t xml:space="preserve"> (1)</w:t>
      </w:r>
      <w:r w:rsidR="005A23F2">
        <w:rPr>
          <w:lang w:val="en-US"/>
        </w:rPr>
        <w:t>,</w:t>
      </w:r>
      <w:r w:rsidRPr="0092556F">
        <w:rPr>
          <w:lang w:val="en-US"/>
        </w:rPr>
        <w:t xml:space="preserve"> </w:t>
      </w:r>
      <w:proofErr w:type="spellStart"/>
      <w:r w:rsidRPr="0092556F">
        <w:rPr>
          <w:lang w:val="en-US"/>
        </w:rPr>
        <w:t>Raffellini</w:t>
      </w:r>
      <w:proofErr w:type="spellEnd"/>
      <w:r w:rsidRPr="0092556F">
        <w:rPr>
          <w:lang w:val="en-US"/>
        </w:rPr>
        <w:t xml:space="preserve"> S</w:t>
      </w:r>
      <w:r>
        <w:rPr>
          <w:lang w:val="en-US"/>
        </w:rPr>
        <w:t xml:space="preserve"> (</w:t>
      </w:r>
      <w:r w:rsidRPr="0092556F">
        <w:rPr>
          <w:lang w:val="en-US"/>
        </w:rPr>
        <w:t>1</w:t>
      </w:r>
      <w:r>
        <w:rPr>
          <w:lang w:val="en-US"/>
        </w:rPr>
        <w:t>)</w:t>
      </w:r>
    </w:p>
    <w:p w14:paraId="1AD14D15" w14:textId="77777777" w:rsidR="00086A30" w:rsidRPr="0092556F" w:rsidRDefault="00086A30">
      <w:pPr>
        <w:spacing w:after="0" w:line="240" w:lineRule="auto"/>
        <w:ind w:left="0" w:hanging="2"/>
        <w:jc w:val="center"/>
        <w:rPr>
          <w:lang w:val="en-US"/>
        </w:rPr>
      </w:pPr>
    </w:p>
    <w:p w14:paraId="511A68C6" w14:textId="682E6CFF" w:rsidR="00086A30" w:rsidRDefault="00FE1C33" w:rsidP="0092556F">
      <w:pPr>
        <w:spacing w:line="240" w:lineRule="auto"/>
        <w:ind w:left="0" w:hanging="2"/>
        <w:jc w:val="left"/>
      </w:pPr>
      <w:r>
        <w:t xml:space="preserve">(1) </w:t>
      </w:r>
      <w:r w:rsidR="0092556F" w:rsidRPr="0092556F">
        <w:t>Universidad Nacional de Luján, Departamento de Tecnología, Argentina</w:t>
      </w:r>
      <w:r>
        <w:t>.</w:t>
      </w:r>
    </w:p>
    <w:p w14:paraId="7D32502A" w14:textId="10A3E07E" w:rsidR="00086A30" w:rsidRDefault="0092556F">
      <w:pPr>
        <w:pBdr>
          <w:top w:val="nil"/>
          <w:left w:val="nil"/>
          <w:bottom w:val="nil"/>
          <w:right w:val="nil"/>
          <w:between w:val="nil"/>
        </w:pBdr>
        <w:tabs>
          <w:tab w:val="left" w:pos="7185"/>
        </w:tabs>
        <w:spacing w:after="0" w:line="240" w:lineRule="auto"/>
        <w:ind w:left="0" w:hanging="2"/>
        <w:jc w:val="left"/>
        <w:rPr>
          <w:color w:val="000000"/>
        </w:rPr>
      </w:pPr>
      <w:r w:rsidRPr="0092556F">
        <w:rPr>
          <w:color w:val="000000"/>
        </w:rPr>
        <w:t>ortizs@mail.unlu.edu.ar</w:t>
      </w:r>
      <w:r w:rsidR="00FE1C33">
        <w:rPr>
          <w:color w:val="000000"/>
        </w:rPr>
        <w:tab/>
      </w:r>
    </w:p>
    <w:p w14:paraId="0E3A4C1A" w14:textId="77777777" w:rsidR="00086A30" w:rsidRDefault="00086A30">
      <w:pPr>
        <w:spacing w:after="0" w:line="240" w:lineRule="auto"/>
        <w:ind w:left="0" w:hanging="2"/>
      </w:pPr>
    </w:p>
    <w:p w14:paraId="48A08B14" w14:textId="0B6962E5" w:rsidR="0092556F" w:rsidRDefault="0092556F" w:rsidP="005B2913">
      <w:pPr>
        <w:suppressAutoHyphens w:val="0"/>
        <w:spacing w:after="0" w:line="259" w:lineRule="auto"/>
        <w:ind w:leftChars="0" w:left="0" w:firstLineChars="0" w:firstLine="0"/>
        <w:textDirection w:val="lrTb"/>
        <w:textAlignment w:val="auto"/>
        <w:outlineLvl w:val="9"/>
        <w:rPr>
          <w:rFonts w:eastAsia="Calibri"/>
          <w:position w:val="0"/>
        </w:rPr>
      </w:pPr>
      <w:r w:rsidRPr="0092556F">
        <w:rPr>
          <w:rFonts w:eastAsia="Calibri"/>
          <w:position w:val="0"/>
        </w:rPr>
        <w:t xml:space="preserve">El incremento del consumo de vegetales como parte de una alimentación sana trae aparejada la posibilidad de que estos sean vehículo de microorganismos causantes de enfermedades trasmitidas por los alimentos, como por ejemplo </w:t>
      </w:r>
      <w:r w:rsidRPr="0092556F">
        <w:rPr>
          <w:rFonts w:eastAsia="Calibri"/>
          <w:i/>
          <w:iCs/>
          <w:position w:val="0"/>
        </w:rPr>
        <w:t xml:space="preserve">Listeria </w:t>
      </w:r>
      <w:proofErr w:type="spellStart"/>
      <w:r w:rsidRPr="0092556F">
        <w:rPr>
          <w:rFonts w:eastAsia="Calibri"/>
          <w:i/>
          <w:iCs/>
          <w:position w:val="0"/>
        </w:rPr>
        <w:t>monocytogenes</w:t>
      </w:r>
      <w:proofErr w:type="spellEnd"/>
      <w:r w:rsidRPr="0092556F">
        <w:rPr>
          <w:rFonts w:eastAsia="Calibri"/>
          <w:position w:val="0"/>
        </w:rPr>
        <w:t xml:space="preserve">. Este microorganismo fue involucrado en un extendido brote producido en Europa asociado al consumo de mezclas de vegetales congelados que incluían granos de choclo y otras hortalizas en su composición. Una tecnología para preservar la inocuidad de alimentos de matriz vegetal es la utilización de cultivos microbianos </w:t>
      </w:r>
      <w:proofErr w:type="spellStart"/>
      <w:r w:rsidRPr="0092556F">
        <w:rPr>
          <w:rFonts w:eastAsia="Calibri"/>
          <w:position w:val="0"/>
        </w:rPr>
        <w:t>bioprotectores</w:t>
      </w:r>
      <w:proofErr w:type="spellEnd"/>
      <w:r w:rsidRPr="0092556F">
        <w:rPr>
          <w:rFonts w:eastAsia="Calibri"/>
          <w:position w:val="0"/>
        </w:rPr>
        <w:t xml:space="preserve">, como por ejemplo bacterias lácticas, para inhibir o inactivar la microbiota indeseable. En ensayos realizados por este grupo de investigación se aisló la cepa láctica nativa </w:t>
      </w:r>
      <w:proofErr w:type="spellStart"/>
      <w:r w:rsidRPr="0092556F">
        <w:rPr>
          <w:rFonts w:eastAsia="Calibri"/>
          <w:i/>
          <w:iCs/>
          <w:position w:val="0"/>
        </w:rPr>
        <w:t>Levilactobacillus</w:t>
      </w:r>
      <w:proofErr w:type="spellEnd"/>
      <w:r w:rsidRPr="0092556F">
        <w:rPr>
          <w:rFonts w:eastAsia="Calibri"/>
          <w:i/>
          <w:iCs/>
          <w:position w:val="0"/>
        </w:rPr>
        <w:t xml:space="preserve"> </w:t>
      </w:r>
      <w:proofErr w:type="spellStart"/>
      <w:r w:rsidRPr="0092556F">
        <w:rPr>
          <w:rFonts w:eastAsia="Calibri"/>
          <w:i/>
          <w:iCs/>
          <w:position w:val="0"/>
        </w:rPr>
        <w:t>brevis</w:t>
      </w:r>
      <w:proofErr w:type="spellEnd"/>
      <w:r w:rsidRPr="0092556F">
        <w:rPr>
          <w:rFonts w:eastAsia="Calibri"/>
          <w:position w:val="0"/>
        </w:rPr>
        <w:t xml:space="preserve"> LBL 1008, que posee </w:t>
      </w:r>
      <w:r w:rsidRPr="0092556F">
        <w:rPr>
          <w:rFonts w:eastAsia="Calibri"/>
          <w:position w:val="0"/>
          <w:lang w:val="es-ES"/>
        </w:rPr>
        <w:t xml:space="preserve">alta capacidad inhibitoria contra </w:t>
      </w:r>
      <w:r w:rsidRPr="0092556F">
        <w:rPr>
          <w:rFonts w:eastAsia="Calibri"/>
          <w:i/>
          <w:iCs/>
          <w:position w:val="0"/>
        </w:rPr>
        <w:t xml:space="preserve">Listeria </w:t>
      </w:r>
      <w:proofErr w:type="spellStart"/>
      <w:r w:rsidRPr="0092556F">
        <w:rPr>
          <w:rFonts w:eastAsia="Calibri"/>
          <w:i/>
          <w:iCs/>
          <w:position w:val="0"/>
        </w:rPr>
        <w:t>monocytogenes</w:t>
      </w:r>
      <w:proofErr w:type="spellEnd"/>
      <w:r w:rsidRPr="0092556F">
        <w:rPr>
          <w:rFonts w:eastAsia="Calibri"/>
          <w:position w:val="0"/>
        </w:rPr>
        <w:t xml:space="preserve"> ATCC 7644 en medios de cultivo. P</w:t>
      </w:r>
      <w:r w:rsidRPr="0092556F">
        <w:rPr>
          <w:rFonts w:eastAsia="Calibri"/>
          <w:position w:val="0"/>
          <w:lang w:val="es-ES"/>
        </w:rPr>
        <w:t xml:space="preserve">ara verificar si este efecto antagónico se replica también en matrices vegetales, se realizó este trabajo cuyo objetivo fue determinar la acción inhibitoria de </w:t>
      </w:r>
      <w:r w:rsidRPr="0092556F">
        <w:rPr>
          <w:rFonts w:eastAsia="Calibri"/>
          <w:i/>
          <w:iCs/>
          <w:position w:val="0"/>
        </w:rPr>
        <w:t xml:space="preserve">L. </w:t>
      </w:r>
      <w:proofErr w:type="spellStart"/>
      <w:r w:rsidRPr="0092556F">
        <w:rPr>
          <w:rFonts w:eastAsia="Calibri"/>
          <w:i/>
          <w:iCs/>
          <w:position w:val="0"/>
        </w:rPr>
        <w:t>brevis</w:t>
      </w:r>
      <w:proofErr w:type="spellEnd"/>
      <w:r w:rsidRPr="0092556F">
        <w:rPr>
          <w:rFonts w:eastAsia="Calibri"/>
          <w:position w:val="0"/>
        </w:rPr>
        <w:t xml:space="preserve"> LBL 1008 contra </w:t>
      </w:r>
      <w:r w:rsidRPr="0092556F">
        <w:rPr>
          <w:rFonts w:eastAsia="Calibri"/>
          <w:i/>
          <w:iCs/>
          <w:position w:val="0"/>
        </w:rPr>
        <w:t xml:space="preserve">L. </w:t>
      </w:r>
      <w:proofErr w:type="spellStart"/>
      <w:r w:rsidRPr="0092556F">
        <w:rPr>
          <w:rFonts w:eastAsia="Calibri"/>
          <w:i/>
          <w:iCs/>
          <w:position w:val="0"/>
        </w:rPr>
        <w:t>monocytogenes</w:t>
      </w:r>
      <w:proofErr w:type="spellEnd"/>
      <w:r w:rsidRPr="0092556F">
        <w:rPr>
          <w:rFonts w:eastAsia="Calibri"/>
          <w:position w:val="0"/>
        </w:rPr>
        <w:t xml:space="preserve"> ATCC 7644 inoculados como </w:t>
      </w:r>
      <w:proofErr w:type="spellStart"/>
      <w:r w:rsidRPr="0092556F">
        <w:rPr>
          <w:rFonts w:eastAsia="Calibri"/>
          <w:position w:val="0"/>
        </w:rPr>
        <w:t>cocultivo</w:t>
      </w:r>
      <w:proofErr w:type="spellEnd"/>
      <w:r w:rsidRPr="0092556F">
        <w:rPr>
          <w:rFonts w:eastAsia="Calibri"/>
          <w:position w:val="0"/>
        </w:rPr>
        <w:t xml:space="preserve"> en granos enteros de choclo almacenados a diferentes temperaturas. Para asegurar la esterilidad del sustrato vegetal, granos de choclo en conserva se </w:t>
      </w:r>
      <w:proofErr w:type="spellStart"/>
      <w:r w:rsidRPr="0092556F">
        <w:rPr>
          <w:rFonts w:eastAsia="Calibri"/>
          <w:position w:val="0"/>
        </w:rPr>
        <w:t>autoclavaron</w:t>
      </w:r>
      <w:proofErr w:type="spellEnd"/>
      <w:r w:rsidRPr="0092556F">
        <w:rPr>
          <w:rFonts w:eastAsia="Calibri"/>
          <w:position w:val="0"/>
        </w:rPr>
        <w:t xml:space="preserve"> (121 °C, 15 min) y posteriormente se inocularon con 10</w:t>
      </w:r>
      <w:r w:rsidRPr="0092556F">
        <w:rPr>
          <w:rFonts w:eastAsia="Calibri"/>
          <w:position w:val="0"/>
          <w:vertAlign w:val="superscript"/>
        </w:rPr>
        <w:t xml:space="preserve">7 </w:t>
      </w:r>
      <w:proofErr w:type="spellStart"/>
      <w:r w:rsidRPr="0092556F">
        <w:rPr>
          <w:rFonts w:eastAsia="Calibri"/>
          <w:position w:val="0"/>
        </w:rPr>
        <w:t>ufc</w:t>
      </w:r>
      <w:proofErr w:type="spellEnd"/>
      <w:r w:rsidRPr="0092556F">
        <w:rPr>
          <w:rFonts w:eastAsia="Calibri"/>
          <w:position w:val="0"/>
        </w:rPr>
        <w:t xml:space="preserve">/g de </w:t>
      </w:r>
      <w:r w:rsidRPr="0092556F">
        <w:rPr>
          <w:rFonts w:eastAsia="Calibri"/>
          <w:i/>
          <w:iCs/>
          <w:position w:val="0"/>
        </w:rPr>
        <w:t xml:space="preserve">L. </w:t>
      </w:r>
      <w:proofErr w:type="spellStart"/>
      <w:r w:rsidRPr="0092556F">
        <w:rPr>
          <w:rFonts w:eastAsia="Calibri"/>
          <w:i/>
          <w:iCs/>
          <w:position w:val="0"/>
        </w:rPr>
        <w:t>brevis</w:t>
      </w:r>
      <w:proofErr w:type="spellEnd"/>
      <w:r w:rsidRPr="0092556F">
        <w:rPr>
          <w:rFonts w:eastAsia="Calibri"/>
          <w:position w:val="0"/>
        </w:rPr>
        <w:t xml:space="preserve"> LBL 1008 y 10</w:t>
      </w:r>
      <w:r w:rsidRPr="0092556F">
        <w:rPr>
          <w:rFonts w:eastAsia="Calibri"/>
          <w:position w:val="0"/>
          <w:vertAlign w:val="superscript"/>
        </w:rPr>
        <w:t>3</w:t>
      </w:r>
      <w:r w:rsidRPr="0092556F">
        <w:rPr>
          <w:rFonts w:eastAsia="Calibri"/>
          <w:position w:val="0"/>
        </w:rPr>
        <w:t xml:space="preserve"> </w:t>
      </w:r>
      <w:proofErr w:type="spellStart"/>
      <w:r w:rsidRPr="0092556F">
        <w:rPr>
          <w:rFonts w:eastAsia="Calibri"/>
          <w:position w:val="0"/>
        </w:rPr>
        <w:t>ufc</w:t>
      </w:r>
      <w:proofErr w:type="spellEnd"/>
      <w:r w:rsidRPr="0092556F">
        <w:rPr>
          <w:rFonts w:eastAsia="Calibri"/>
          <w:position w:val="0"/>
        </w:rPr>
        <w:t xml:space="preserve">/g de </w:t>
      </w:r>
      <w:r w:rsidRPr="0092556F">
        <w:rPr>
          <w:rFonts w:eastAsia="Calibri"/>
          <w:i/>
          <w:iCs/>
          <w:position w:val="0"/>
        </w:rPr>
        <w:t xml:space="preserve">L. </w:t>
      </w:r>
      <w:proofErr w:type="spellStart"/>
      <w:r w:rsidRPr="0092556F">
        <w:rPr>
          <w:rFonts w:eastAsia="Calibri"/>
          <w:i/>
          <w:iCs/>
          <w:position w:val="0"/>
        </w:rPr>
        <w:t>monocytogenes</w:t>
      </w:r>
      <w:proofErr w:type="spellEnd"/>
      <w:r w:rsidRPr="0092556F">
        <w:rPr>
          <w:rFonts w:eastAsia="Calibri"/>
          <w:position w:val="0"/>
        </w:rPr>
        <w:t xml:space="preserve"> ATCC 7644. Los granos se almacenaron a 30 °C y 5 °C durante 72 h y 144 h respectivamente. Periódicamente durante el almacenamiento se monitoreó la apariencia de los granos y se realizaron recuentos de </w:t>
      </w:r>
      <w:r w:rsidRPr="0092556F">
        <w:rPr>
          <w:rFonts w:eastAsia="Calibri"/>
          <w:i/>
          <w:iCs/>
          <w:position w:val="0"/>
        </w:rPr>
        <w:t xml:space="preserve">L. </w:t>
      </w:r>
      <w:proofErr w:type="spellStart"/>
      <w:r w:rsidRPr="0092556F">
        <w:rPr>
          <w:rFonts w:eastAsia="Calibri"/>
          <w:i/>
          <w:iCs/>
          <w:position w:val="0"/>
        </w:rPr>
        <w:t>brevis</w:t>
      </w:r>
      <w:proofErr w:type="spellEnd"/>
      <w:r w:rsidRPr="0092556F">
        <w:rPr>
          <w:rFonts w:eastAsia="Calibri"/>
          <w:position w:val="0"/>
        </w:rPr>
        <w:t xml:space="preserve"> LBL 1008 y de </w:t>
      </w:r>
      <w:r w:rsidRPr="0092556F">
        <w:rPr>
          <w:rFonts w:eastAsia="Calibri"/>
          <w:i/>
          <w:iCs/>
          <w:position w:val="0"/>
        </w:rPr>
        <w:t xml:space="preserve">L. </w:t>
      </w:r>
      <w:proofErr w:type="spellStart"/>
      <w:r w:rsidRPr="0092556F">
        <w:rPr>
          <w:rFonts w:eastAsia="Calibri"/>
          <w:i/>
          <w:iCs/>
          <w:position w:val="0"/>
        </w:rPr>
        <w:t>monocytogenes</w:t>
      </w:r>
      <w:proofErr w:type="spellEnd"/>
      <w:r w:rsidRPr="0092556F">
        <w:rPr>
          <w:rFonts w:eastAsia="Calibri"/>
          <w:position w:val="0"/>
        </w:rPr>
        <w:t xml:space="preserve"> ATCC 7644 en agar MRS y medio Oxford respectivamente. Como tratamientos control se almacenaron y procesaron en las mismas condiciones granos de choclo sin inocular, e inoculados solamente con </w:t>
      </w:r>
      <w:r w:rsidRPr="0092556F">
        <w:rPr>
          <w:rFonts w:eastAsia="Calibri"/>
          <w:i/>
          <w:iCs/>
          <w:position w:val="0"/>
        </w:rPr>
        <w:t xml:space="preserve">L. </w:t>
      </w:r>
      <w:proofErr w:type="spellStart"/>
      <w:r w:rsidRPr="0092556F">
        <w:rPr>
          <w:rFonts w:eastAsia="Calibri"/>
          <w:i/>
          <w:iCs/>
          <w:position w:val="0"/>
        </w:rPr>
        <w:t>brevis</w:t>
      </w:r>
      <w:proofErr w:type="spellEnd"/>
      <w:r w:rsidRPr="0092556F">
        <w:rPr>
          <w:rFonts w:eastAsia="Calibri"/>
          <w:position w:val="0"/>
        </w:rPr>
        <w:t xml:space="preserve"> LBL 1008 o con </w:t>
      </w:r>
      <w:r w:rsidRPr="0092556F">
        <w:rPr>
          <w:rFonts w:eastAsia="Calibri"/>
          <w:i/>
          <w:iCs/>
          <w:position w:val="0"/>
        </w:rPr>
        <w:t xml:space="preserve">L. </w:t>
      </w:r>
      <w:proofErr w:type="spellStart"/>
      <w:r w:rsidRPr="0092556F">
        <w:rPr>
          <w:rFonts w:eastAsia="Calibri"/>
          <w:i/>
          <w:iCs/>
          <w:position w:val="0"/>
        </w:rPr>
        <w:t>monocytogenes</w:t>
      </w:r>
      <w:proofErr w:type="spellEnd"/>
      <w:r w:rsidRPr="0092556F">
        <w:rPr>
          <w:rFonts w:eastAsia="Calibri"/>
          <w:position w:val="0"/>
        </w:rPr>
        <w:t xml:space="preserve"> ATCC 7644.</w:t>
      </w:r>
      <w:r w:rsidRPr="0092556F">
        <w:rPr>
          <w:rFonts w:eastAsia="Malgun Gothic"/>
          <w:position w:val="0"/>
        </w:rPr>
        <w:t xml:space="preserve"> Los resultados obtenidos mostraron crecimiento de </w:t>
      </w:r>
      <w:r w:rsidRPr="0092556F">
        <w:rPr>
          <w:rFonts w:eastAsia="Malgun Gothic"/>
          <w:i/>
          <w:iCs/>
          <w:position w:val="0"/>
        </w:rPr>
        <w:t xml:space="preserve">L. </w:t>
      </w:r>
      <w:proofErr w:type="spellStart"/>
      <w:r w:rsidRPr="0092556F">
        <w:rPr>
          <w:rFonts w:eastAsia="Malgun Gothic"/>
          <w:i/>
          <w:iCs/>
          <w:position w:val="0"/>
        </w:rPr>
        <w:t>monocytogenes</w:t>
      </w:r>
      <w:proofErr w:type="spellEnd"/>
      <w:r w:rsidRPr="0092556F">
        <w:rPr>
          <w:rFonts w:eastAsia="Malgun Gothic"/>
          <w:position w:val="0"/>
        </w:rPr>
        <w:t xml:space="preserve"> </w:t>
      </w:r>
      <w:r w:rsidRPr="0092556F">
        <w:rPr>
          <w:rFonts w:eastAsia="Calibri"/>
          <w:position w:val="0"/>
        </w:rPr>
        <w:t xml:space="preserve">ATCC 7644 </w:t>
      </w:r>
      <w:r w:rsidRPr="0092556F">
        <w:rPr>
          <w:rFonts w:eastAsia="Malgun Gothic"/>
          <w:position w:val="0"/>
        </w:rPr>
        <w:t xml:space="preserve">en choclo almacenado a 30 °C en cultivo independiente (aumento de 2 log en la población original) mientras que en </w:t>
      </w:r>
      <w:proofErr w:type="spellStart"/>
      <w:r w:rsidRPr="0092556F">
        <w:rPr>
          <w:rFonts w:eastAsia="Malgun Gothic"/>
          <w:position w:val="0"/>
        </w:rPr>
        <w:t>cocultivo</w:t>
      </w:r>
      <w:proofErr w:type="spellEnd"/>
      <w:r w:rsidRPr="0092556F">
        <w:rPr>
          <w:rFonts w:eastAsia="Malgun Gothic"/>
          <w:position w:val="0"/>
        </w:rPr>
        <w:t xml:space="preserve"> con la bacteria láctica se produjo inactivación de la población original (disminución de la población de 2 ciclos logarítmicos). En tratamientos a 5 °C se observó una tendencia similar (incremento de la población de </w:t>
      </w:r>
      <w:r w:rsidRPr="0092556F">
        <w:rPr>
          <w:rFonts w:eastAsia="Malgun Gothic"/>
          <w:i/>
          <w:iCs/>
          <w:position w:val="0"/>
        </w:rPr>
        <w:t xml:space="preserve">L. </w:t>
      </w:r>
      <w:proofErr w:type="spellStart"/>
      <w:r w:rsidRPr="0092556F">
        <w:rPr>
          <w:rFonts w:eastAsia="Malgun Gothic"/>
          <w:i/>
          <w:iCs/>
          <w:position w:val="0"/>
        </w:rPr>
        <w:t>monocytogenes</w:t>
      </w:r>
      <w:proofErr w:type="spellEnd"/>
      <w:r w:rsidRPr="0092556F">
        <w:rPr>
          <w:rFonts w:eastAsia="Malgun Gothic"/>
          <w:position w:val="0"/>
        </w:rPr>
        <w:t xml:space="preserve"> </w:t>
      </w:r>
      <w:r w:rsidRPr="0092556F">
        <w:rPr>
          <w:rFonts w:eastAsia="Calibri"/>
          <w:position w:val="0"/>
        </w:rPr>
        <w:t xml:space="preserve">ATCC 7644 </w:t>
      </w:r>
      <w:r w:rsidRPr="0092556F">
        <w:rPr>
          <w:rFonts w:eastAsia="Malgun Gothic"/>
          <w:position w:val="0"/>
        </w:rPr>
        <w:t xml:space="preserve">en cultivo independiente e inactivación de la población original de este microorganismo en </w:t>
      </w:r>
      <w:proofErr w:type="spellStart"/>
      <w:r w:rsidRPr="0092556F">
        <w:rPr>
          <w:rFonts w:eastAsia="Malgun Gothic"/>
          <w:position w:val="0"/>
        </w:rPr>
        <w:t>cocultivo</w:t>
      </w:r>
      <w:proofErr w:type="spellEnd"/>
      <w:r w:rsidRPr="0092556F">
        <w:rPr>
          <w:rFonts w:eastAsia="Malgun Gothic"/>
          <w:position w:val="0"/>
        </w:rPr>
        <w:t xml:space="preserve"> con la cepa láctica), pero con una velocidad menor, posiblemente debido a la menor actividad metabólica microbiana a bajas temperaturas. Tanto la población de </w:t>
      </w:r>
      <w:r w:rsidRPr="0092556F">
        <w:rPr>
          <w:rFonts w:eastAsia="Malgun Gothic"/>
          <w:i/>
          <w:iCs/>
          <w:position w:val="0"/>
        </w:rPr>
        <w:t xml:space="preserve">L. </w:t>
      </w:r>
      <w:proofErr w:type="spellStart"/>
      <w:r w:rsidRPr="0092556F">
        <w:rPr>
          <w:rFonts w:eastAsia="Malgun Gothic"/>
          <w:i/>
          <w:iCs/>
          <w:position w:val="0"/>
        </w:rPr>
        <w:t>brevis</w:t>
      </w:r>
      <w:proofErr w:type="spellEnd"/>
      <w:r w:rsidRPr="0092556F">
        <w:rPr>
          <w:rFonts w:eastAsia="Malgun Gothic"/>
          <w:position w:val="0"/>
        </w:rPr>
        <w:t xml:space="preserve"> LBL 1008 como la apariencia de los granos se mantuvieron estables en todos los tratamientos. Dada la actividad antagónica de la cepa láctica sobre </w:t>
      </w:r>
      <w:r w:rsidRPr="0092556F">
        <w:rPr>
          <w:rFonts w:eastAsia="Malgun Gothic"/>
          <w:i/>
          <w:iCs/>
          <w:position w:val="0"/>
        </w:rPr>
        <w:t xml:space="preserve">L. </w:t>
      </w:r>
      <w:proofErr w:type="spellStart"/>
      <w:r w:rsidRPr="0092556F">
        <w:rPr>
          <w:rFonts w:eastAsia="Malgun Gothic"/>
          <w:i/>
          <w:iCs/>
          <w:position w:val="0"/>
        </w:rPr>
        <w:t>monocytogenes</w:t>
      </w:r>
      <w:proofErr w:type="spellEnd"/>
      <w:r w:rsidRPr="0092556F">
        <w:rPr>
          <w:rFonts w:eastAsia="Malgun Gothic"/>
          <w:position w:val="0"/>
        </w:rPr>
        <w:t xml:space="preserve"> </w:t>
      </w:r>
      <w:r w:rsidRPr="0092556F">
        <w:rPr>
          <w:rFonts w:eastAsia="Calibri"/>
          <w:position w:val="0"/>
        </w:rPr>
        <w:t xml:space="preserve">ATCC 7644 </w:t>
      </w:r>
      <w:r w:rsidRPr="0092556F">
        <w:rPr>
          <w:rFonts w:eastAsia="Malgun Gothic"/>
          <w:position w:val="0"/>
        </w:rPr>
        <w:t xml:space="preserve">observada en las condiciones ensayadas, se concluye que </w:t>
      </w:r>
      <w:r w:rsidRPr="0092556F">
        <w:rPr>
          <w:rFonts w:eastAsia="Calibri"/>
          <w:i/>
          <w:iCs/>
          <w:position w:val="0"/>
        </w:rPr>
        <w:t xml:space="preserve">L. </w:t>
      </w:r>
      <w:proofErr w:type="spellStart"/>
      <w:r w:rsidRPr="0092556F">
        <w:rPr>
          <w:rFonts w:eastAsia="Calibri"/>
          <w:i/>
          <w:iCs/>
          <w:position w:val="0"/>
        </w:rPr>
        <w:t>brevis</w:t>
      </w:r>
      <w:proofErr w:type="spellEnd"/>
      <w:r w:rsidRPr="0092556F">
        <w:rPr>
          <w:rFonts w:eastAsia="Calibri"/>
          <w:position w:val="0"/>
        </w:rPr>
        <w:t xml:space="preserve"> LBL 1008 podría </w:t>
      </w:r>
      <w:r w:rsidRPr="0092556F">
        <w:rPr>
          <w:rFonts w:eastAsia="Calibri"/>
          <w:position w:val="0"/>
        </w:rPr>
        <w:lastRenderedPageBreak/>
        <w:t xml:space="preserve">utilizarse como cultivo </w:t>
      </w:r>
      <w:proofErr w:type="spellStart"/>
      <w:r w:rsidRPr="0092556F">
        <w:rPr>
          <w:rFonts w:eastAsia="Calibri"/>
          <w:position w:val="0"/>
        </w:rPr>
        <w:t>bioprotector</w:t>
      </w:r>
      <w:proofErr w:type="spellEnd"/>
      <w:r w:rsidRPr="0092556F">
        <w:rPr>
          <w:rFonts w:eastAsia="Calibri"/>
          <w:position w:val="0"/>
        </w:rPr>
        <w:t xml:space="preserve"> en alimentos de matriz vegetal, para contribuir en la preservación de la inocuidad en forma conjunta con otras tecnologías de conservación.</w:t>
      </w:r>
    </w:p>
    <w:p w14:paraId="65039ED1" w14:textId="77777777" w:rsidR="005B2913" w:rsidRPr="0092556F" w:rsidRDefault="005B2913" w:rsidP="005B2913">
      <w:pPr>
        <w:suppressAutoHyphens w:val="0"/>
        <w:spacing w:after="0" w:line="259" w:lineRule="auto"/>
        <w:ind w:leftChars="0" w:left="0" w:firstLineChars="0" w:firstLine="0"/>
        <w:textDirection w:val="lrTb"/>
        <w:textAlignment w:val="auto"/>
        <w:outlineLvl w:val="9"/>
        <w:rPr>
          <w:rFonts w:eastAsia="Calibri"/>
          <w:position w:val="0"/>
        </w:rPr>
      </w:pPr>
    </w:p>
    <w:p w14:paraId="52045E66" w14:textId="311108F3" w:rsidR="0092556F" w:rsidRDefault="0092556F" w:rsidP="005B2913">
      <w:pPr>
        <w:suppressAutoHyphens w:val="0"/>
        <w:spacing w:after="0" w:line="259" w:lineRule="auto"/>
        <w:ind w:leftChars="0" w:left="0" w:firstLineChars="0" w:firstLine="0"/>
        <w:textDirection w:val="lrTb"/>
        <w:textAlignment w:val="auto"/>
        <w:outlineLvl w:val="9"/>
        <w:rPr>
          <w:rFonts w:eastAsia="Calibri"/>
          <w:position w:val="0"/>
        </w:rPr>
      </w:pPr>
      <w:r w:rsidRPr="0092556F">
        <w:rPr>
          <w:rFonts w:eastAsia="Calibri"/>
          <w:position w:val="0"/>
        </w:rPr>
        <w:t>Las autoras agradecen al Depto. de Tecnología-</w:t>
      </w:r>
      <w:proofErr w:type="spellStart"/>
      <w:r w:rsidRPr="0092556F">
        <w:rPr>
          <w:rFonts w:eastAsia="Calibri"/>
          <w:position w:val="0"/>
        </w:rPr>
        <w:t>UNLu</w:t>
      </w:r>
      <w:proofErr w:type="spellEnd"/>
      <w:r w:rsidRPr="0092556F">
        <w:rPr>
          <w:rFonts w:eastAsia="Calibri"/>
          <w:position w:val="0"/>
        </w:rPr>
        <w:t>, por subsidiar el proyecto</w:t>
      </w:r>
    </w:p>
    <w:p w14:paraId="759114F6" w14:textId="77777777" w:rsidR="005B2913" w:rsidRPr="0092556F" w:rsidRDefault="005B2913" w:rsidP="005B2913">
      <w:pPr>
        <w:suppressAutoHyphens w:val="0"/>
        <w:spacing w:after="0" w:line="259" w:lineRule="auto"/>
        <w:ind w:leftChars="0" w:left="0" w:firstLineChars="0" w:firstLine="0"/>
        <w:textDirection w:val="lrTb"/>
        <w:textAlignment w:val="auto"/>
        <w:outlineLvl w:val="9"/>
        <w:rPr>
          <w:rFonts w:eastAsia="Calibri"/>
          <w:position w:val="0"/>
        </w:rPr>
      </w:pPr>
    </w:p>
    <w:p w14:paraId="5777CF45" w14:textId="0CA64A9F" w:rsidR="00086A30" w:rsidRDefault="0092556F" w:rsidP="0092556F">
      <w:pPr>
        <w:spacing w:after="0" w:line="240" w:lineRule="auto"/>
        <w:ind w:left="0" w:hanging="2"/>
      </w:pPr>
      <w:r w:rsidRPr="0092556F">
        <w:rPr>
          <w:rFonts w:eastAsia="Calibri"/>
          <w:position w:val="0"/>
        </w:rPr>
        <w:t xml:space="preserve">Palabras clave: </w:t>
      </w:r>
      <w:proofErr w:type="spellStart"/>
      <w:r w:rsidRPr="0092556F">
        <w:rPr>
          <w:rFonts w:eastAsia="Calibri"/>
          <w:position w:val="0"/>
        </w:rPr>
        <w:t>Bioprotección</w:t>
      </w:r>
      <w:proofErr w:type="spellEnd"/>
      <w:r w:rsidRPr="0092556F">
        <w:rPr>
          <w:rFonts w:eastAsia="Calibri"/>
          <w:position w:val="0"/>
        </w:rPr>
        <w:t>, bacterias lácticas, vegetales, Listeria</w:t>
      </w:r>
      <w:r w:rsidR="00FE1C33">
        <w:t>.</w:t>
      </w:r>
    </w:p>
    <w:sectPr w:rsidR="00086A30">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AAEEB" w14:textId="77777777" w:rsidR="00A41B20" w:rsidRDefault="00A41B20">
      <w:pPr>
        <w:spacing w:after="0" w:line="240" w:lineRule="auto"/>
        <w:ind w:left="0" w:hanging="2"/>
      </w:pPr>
      <w:r>
        <w:separator/>
      </w:r>
    </w:p>
  </w:endnote>
  <w:endnote w:type="continuationSeparator" w:id="0">
    <w:p w14:paraId="4966EF60" w14:textId="77777777" w:rsidR="00A41B20" w:rsidRDefault="00A41B2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0D0C" w14:textId="77777777" w:rsidR="00A41B20" w:rsidRDefault="00A41B20">
      <w:pPr>
        <w:spacing w:after="0" w:line="240" w:lineRule="auto"/>
        <w:ind w:left="0" w:hanging="2"/>
      </w:pPr>
      <w:r>
        <w:separator/>
      </w:r>
    </w:p>
  </w:footnote>
  <w:footnote w:type="continuationSeparator" w:id="0">
    <w:p w14:paraId="6133E156" w14:textId="77777777" w:rsidR="00A41B20" w:rsidRDefault="00A41B2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F957" w14:textId="77777777" w:rsidR="00086A30" w:rsidRDefault="00FE1C3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DA4B54A" wp14:editId="02CB9ED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A30"/>
    <w:rsid w:val="00086A30"/>
    <w:rsid w:val="0041231B"/>
    <w:rsid w:val="005A23F2"/>
    <w:rsid w:val="005B2913"/>
    <w:rsid w:val="0092556F"/>
    <w:rsid w:val="00934A81"/>
    <w:rsid w:val="00A41B20"/>
    <w:rsid w:val="00C17563"/>
    <w:rsid w:val="00FE1C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6FB0"/>
  <w15:docId w15:val="{22CDE5F8-3EA8-402C-9D1D-7E40C5A5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2954</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3</cp:revision>
  <dcterms:created xsi:type="dcterms:W3CDTF">2022-08-17T18:56:00Z</dcterms:created>
  <dcterms:modified xsi:type="dcterms:W3CDTF">2022-08-17T18:58:00Z</dcterms:modified>
</cp:coreProperties>
</file>