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34BAD" w14:textId="4C22AC3E" w:rsidR="00F008BE" w:rsidRDefault="008C4EB8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 conservación de aceite </w:t>
      </w:r>
      <w:r w:rsidR="00BF67D9">
        <w:rPr>
          <w:b/>
          <w:color w:val="000000"/>
        </w:rPr>
        <w:t xml:space="preserve">de girasol </w:t>
      </w:r>
      <w:r w:rsidR="00C819FF">
        <w:rPr>
          <w:b/>
          <w:color w:val="000000"/>
        </w:rPr>
        <w:t>utilizando</w:t>
      </w:r>
      <w:r>
        <w:rPr>
          <w:b/>
          <w:color w:val="000000"/>
        </w:rPr>
        <w:t xml:space="preserve"> un envase activo con compuestos antioxidantes</w:t>
      </w:r>
    </w:p>
    <w:p w14:paraId="693698B8" w14:textId="12BA45E6" w:rsidR="009E3F4A" w:rsidRDefault="005E673E">
      <w:pP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 </w:t>
      </w:r>
    </w:p>
    <w:p w14:paraId="7ECAED2F" w14:textId="1C549B0B" w:rsidR="00F008BE" w:rsidRDefault="008C4EB8">
      <w:pPr>
        <w:spacing w:after="0" w:line="240" w:lineRule="auto"/>
        <w:ind w:left="0" w:hanging="2"/>
        <w:jc w:val="center"/>
      </w:pPr>
      <w:r>
        <w:t>Vicario</w:t>
      </w:r>
      <w:r w:rsidR="001A22A3">
        <w:t xml:space="preserve"> </w:t>
      </w:r>
      <w:r>
        <w:t>A</w:t>
      </w:r>
      <w:r w:rsidR="009041FB">
        <w:t>.</w:t>
      </w:r>
      <w:r>
        <w:t>L</w:t>
      </w:r>
      <w:r w:rsidR="009041FB">
        <w:t>.</w:t>
      </w:r>
      <w:r w:rsidR="001A22A3">
        <w:t xml:space="preserve"> (</w:t>
      </w:r>
      <w:r w:rsidR="009041FB">
        <w:t>1, 2</w:t>
      </w:r>
      <w:r w:rsidR="001A22A3">
        <w:t>)</w:t>
      </w:r>
      <w:r>
        <w:t>,</w:t>
      </w:r>
      <w:r w:rsidR="004114DC">
        <w:t xml:space="preserve"> </w:t>
      </w:r>
      <w:proofErr w:type="spellStart"/>
      <w:r w:rsidR="004114DC" w:rsidRPr="00DC6890">
        <w:t>Junges</w:t>
      </w:r>
      <w:proofErr w:type="spellEnd"/>
      <w:r w:rsidR="004114DC" w:rsidRPr="00DC6890">
        <w:t xml:space="preserve"> A.M.</w:t>
      </w:r>
      <w:r w:rsidR="00B76673" w:rsidRPr="00DC6890">
        <w:t xml:space="preserve"> (1, 2),</w:t>
      </w:r>
      <w:r w:rsidR="004114DC" w:rsidRPr="00DC6890">
        <w:t xml:space="preserve"> </w:t>
      </w:r>
      <w:r w:rsidR="00B76673" w:rsidRPr="00DC6890">
        <w:t xml:space="preserve">Quiroga J. (1), </w:t>
      </w:r>
      <w:r w:rsidR="009041FB" w:rsidRPr="00DC6890">
        <w:t>García M.G. (1, 2)</w:t>
      </w:r>
      <w:r w:rsidRPr="00DC6890">
        <w:t>, Quiroga E.</w:t>
      </w:r>
      <w:r w:rsidR="00BF67D9" w:rsidRPr="00DC6890">
        <w:t xml:space="preserve"> (1, 2)</w:t>
      </w:r>
      <w:r>
        <w:t xml:space="preserve"> </w:t>
      </w:r>
      <w:r w:rsidR="009041FB">
        <w:t xml:space="preserve"> </w:t>
      </w:r>
    </w:p>
    <w:p w14:paraId="49FA1B45" w14:textId="2C408851" w:rsidR="00F008BE" w:rsidRDefault="009041FB">
      <w:pPr>
        <w:spacing w:after="0" w:line="240" w:lineRule="auto"/>
        <w:ind w:left="0" w:hanging="2"/>
        <w:jc w:val="center"/>
      </w:pPr>
      <w:r>
        <w:t xml:space="preserve"> </w:t>
      </w:r>
    </w:p>
    <w:p w14:paraId="1AF50F0B" w14:textId="38A0CAAA" w:rsidR="00F008BE" w:rsidRDefault="001A22A3">
      <w:pPr>
        <w:spacing w:after="120" w:line="240" w:lineRule="auto"/>
        <w:ind w:left="0" w:hanging="2"/>
        <w:jc w:val="left"/>
      </w:pPr>
      <w:r>
        <w:t xml:space="preserve">(1) </w:t>
      </w:r>
      <w:r w:rsidR="009041FB">
        <w:t>Departamento de Química</w:t>
      </w:r>
      <w:r>
        <w:t>,</w:t>
      </w:r>
      <w:r w:rsidR="009041FB">
        <w:t xml:space="preserve"> Facultad de Química, Bioquímica y Farmacia, Universidad Nacional de San Luis, San Luis, San Luis, Argentina</w:t>
      </w:r>
      <w:r>
        <w:t>.</w:t>
      </w:r>
    </w:p>
    <w:p w14:paraId="788C1174" w14:textId="1831DE1D" w:rsidR="009041FB" w:rsidRDefault="001A22A3" w:rsidP="009041FB">
      <w:pPr>
        <w:spacing w:after="120" w:line="240" w:lineRule="auto"/>
        <w:ind w:left="0" w:hanging="2"/>
        <w:jc w:val="left"/>
      </w:pPr>
      <w:r>
        <w:t xml:space="preserve">(2) </w:t>
      </w:r>
      <w:r w:rsidR="009041FB">
        <w:t>Instituto de Física Aplicada CCT-San Luis, CONICET, San Luis, Argentina.</w:t>
      </w:r>
    </w:p>
    <w:p w14:paraId="2B52C417" w14:textId="24D5B489" w:rsidR="00F008BE" w:rsidRDefault="001A22A3" w:rsidP="00974630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hyperlink r:id="rId9" w:history="1">
        <w:r w:rsidR="00265395" w:rsidRPr="00091FB2">
          <w:rPr>
            <w:rStyle w:val="Hipervnculo"/>
          </w:rPr>
          <w:t>anyvicario@gmail.com</w:t>
        </w:r>
      </w:hyperlink>
    </w:p>
    <w:p w14:paraId="20FF819F" w14:textId="77777777" w:rsidR="00BF67D9" w:rsidRDefault="00BF67D9" w:rsidP="00BF67D9">
      <w:pPr>
        <w:pStyle w:val="Default"/>
        <w:rPr>
          <w:rFonts w:ascii="Arial" w:eastAsia="Times New Roman" w:hAnsi="Arial" w:cs="Arial"/>
          <w:color w:val="auto"/>
          <w:position w:val="-1"/>
          <w:lang w:eastAsia="en-US"/>
        </w:rPr>
      </w:pPr>
    </w:p>
    <w:p w14:paraId="243AA30C" w14:textId="424CDD55" w:rsidR="00BF67D9" w:rsidRPr="00BF67D9" w:rsidRDefault="00BF67D9" w:rsidP="00BF67D9">
      <w:pPr>
        <w:pStyle w:val="Default"/>
        <w:jc w:val="both"/>
        <w:rPr>
          <w:rFonts w:ascii="Arial" w:eastAsia="Times New Roman" w:hAnsi="Arial" w:cs="Arial"/>
          <w:color w:val="auto"/>
          <w:position w:val="-1"/>
          <w:lang w:eastAsia="en-US"/>
        </w:rPr>
      </w:pPr>
      <w:r>
        <w:rPr>
          <w:rFonts w:ascii="Arial" w:eastAsia="Times New Roman" w:hAnsi="Arial" w:cs="Arial"/>
          <w:color w:val="auto"/>
          <w:position w:val="-1"/>
          <w:lang w:eastAsia="en-US"/>
        </w:rPr>
        <w:t>L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os alimentos lipídic</w:t>
      </w:r>
      <w:r w:rsidR="0031583C">
        <w:rPr>
          <w:rFonts w:ascii="Arial" w:eastAsia="Times New Roman" w:hAnsi="Arial" w:cs="Arial"/>
          <w:color w:val="auto"/>
          <w:position w:val="-1"/>
          <w:lang w:eastAsia="en-US"/>
        </w:rPr>
        <w:t>os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se deterioran al ser expuestos al calor,</w:t>
      </w:r>
      <w:r>
        <w:rPr>
          <w:rFonts w:ascii="Arial" w:eastAsia="Times New Roman" w:hAnsi="Arial" w:cs="Arial"/>
          <w:color w:val="auto"/>
          <w:position w:val="-1"/>
          <w:lang w:eastAsia="en-US"/>
        </w:rPr>
        <w:t xml:space="preserve"> la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luz </w:t>
      </w:r>
      <w:r>
        <w:rPr>
          <w:rFonts w:ascii="Arial" w:eastAsia="Times New Roman" w:hAnsi="Arial" w:cs="Arial"/>
          <w:color w:val="auto"/>
          <w:position w:val="-1"/>
          <w:lang w:eastAsia="en-US"/>
        </w:rPr>
        <w:t>y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position w:val="-1"/>
          <w:lang w:eastAsia="en-US"/>
        </w:rPr>
        <w:t xml:space="preserve">el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oxígeno. Los principales procesos de deterioro son 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causados por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reacciones de oxidación </w:t>
      </w:r>
      <w:r w:rsidR="00F83C4F">
        <w:rPr>
          <w:rFonts w:ascii="Arial" w:eastAsia="Times New Roman" w:hAnsi="Arial" w:cs="Arial"/>
          <w:color w:val="auto"/>
          <w:position w:val="-1"/>
          <w:lang w:eastAsia="en-US"/>
        </w:rPr>
        <w:t xml:space="preserve">que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provocan una disminución del valor nutricional y de 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la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calidad</w:t>
      </w:r>
      <w:r w:rsidR="00F83C4F">
        <w:rPr>
          <w:rFonts w:ascii="Arial" w:eastAsia="Times New Roman" w:hAnsi="Arial" w:cs="Arial"/>
          <w:color w:val="auto"/>
          <w:position w:val="-1"/>
          <w:lang w:eastAsia="en-US"/>
        </w:rPr>
        <w:t xml:space="preserve"> del alimento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. Para retardar este tipo de reacciones se utilizan varios métodos, entre ellos el uso de aditivos específicos denominados antioxidantes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(AO)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Una gran parte de los antioxidantes empleados en la industria son de carácter sintético los cuales resultan eficaces y económicos, pero están sujetos a restricciones debido a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su posible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toxicidad. Esto conlleva a un creciente interés por la búsqueda y empleo de antioxidantes naturales. El objetivo de este trabajo fue evaluar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la efic</w:t>
      </w:r>
      <w:r w:rsidR="00225836">
        <w:rPr>
          <w:rFonts w:ascii="Arial" w:eastAsia="Times New Roman" w:hAnsi="Arial" w:cs="Arial"/>
          <w:color w:val="auto"/>
          <w:position w:val="-1"/>
          <w:lang w:eastAsia="en-US"/>
        </w:rPr>
        <w:t>a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cia de un material de envase activo formulado en base a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extractos </w:t>
      </w:r>
      <w:r w:rsidR="00225836">
        <w:rPr>
          <w:rFonts w:ascii="Arial" w:eastAsia="Times New Roman" w:hAnsi="Arial" w:cs="Arial"/>
          <w:color w:val="auto"/>
          <w:position w:val="-1"/>
          <w:lang w:eastAsia="en-US"/>
        </w:rPr>
        <w:t>antioxidantes</w:t>
      </w:r>
      <w:r w:rsidR="00225836"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naturales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 y pectina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en la conservación de un alimento graso. Los extractos fueron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obtenidos a partir del 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fruto de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chañar</w:t>
      </w:r>
      <w:r w:rsidR="00901A68">
        <w:rPr>
          <w:rFonts w:ascii="Arial" w:eastAsia="Times New Roman" w:hAnsi="Arial" w:cs="Arial"/>
          <w:color w:val="auto"/>
          <w:position w:val="-1"/>
          <w:lang w:eastAsia="en-US"/>
        </w:rPr>
        <w:t xml:space="preserve"> (</w:t>
      </w:r>
      <w:proofErr w:type="spellStart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>Geoffroea</w:t>
      </w:r>
      <w:proofErr w:type="spellEnd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 xml:space="preserve"> </w:t>
      </w:r>
      <w:proofErr w:type="spellStart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>decorticans</w:t>
      </w:r>
      <w:proofErr w:type="spellEnd"/>
      <w:r w:rsidR="00901A68" w:rsidRPr="00901A68">
        <w:rPr>
          <w:rFonts w:ascii="Arial" w:eastAsia="Times New Roman" w:hAnsi="Arial" w:cs="Arial"/>
          <w:color w:val="auto"/>
          <w:position w:val="-1"/>
          <w:lang w:eastAsia="en-US"/>
        </w:rPr>
        <w:t xml:space="preserve">)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y del té verde</w:t>
      </w:r>
      <w:r w:rsidR="00901A68">
        <w:rPr>
          <w:rFonts w:ascii="Arial" w:eastAsia="Times New Roman" w:hAnsi="Arial" w:cs="Arial"/>
          <w:color w:val="auto"/>
          <w:position w:val="-1"/>
          <w:lang w:eastAsia="en-US"/>
        </w:rPr>
        <w:t xml:space="preserve"> (</w:t>
      </w:r>
      <w:proofErr w:type="spellStart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>Camellia</w:t>
      </w:r>
      <w:proofErr w:type="spellEnd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 xml:space="preserve"> </w:t>
      </w:r>
      <w:proofErr w:type="spellStart"/>
      <w:r w:rsidR="00901A68" w:rsidRPr="00901A68">
        <w:rPr>
          <w:rFonts w:ascii="Arial" w:eastAsia="Times New Roman" w:hAnsi="Arial" w:cs="Arial"/>
          <w:i/>
          <w:iCs/>
          <w:color w:val="auto"/>
          <w:position w:val="-1"/>
          <w:lang w:eastAsia="en-US"/>
        </w:rPr>
        <w:t>sinensis</w:t>
      </w:r>
      <w:proofErr w:type="spellEnd"/>
      <w:r w:rsidR="00901A68">
        <w:rPr>
          <w:rFonts w:ascii="Arial" w:eastAsia="Times New Roman" w:hAnsi="Arial" w:cs="Arial"/>
          <w:color w:val="auto"/>
          <w:position w:val="-1"/>
          <w:lang w:eastAsia="en-US"/>
        </w:rPr>
        <w:t>)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6C190D">
        <w:t xml:space="preserve">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El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extracto </w:t>
      </w:r>
      <w:proofErr w:type="spellStart"/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metanólico</w:t>
      </w:r>
      <w:proofErr w:type="spellEnd"/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>de chañar</w:t>
      </w:r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se obtuvo a partir de la harina y se purificó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por </w:t>
      </w:r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contacto con una resina </w:t>
      </w:r>
      <w:proofErr w:type="spellStart"/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>Amberlite</w:t>
      </w:r>
      <w:proofErr w:type="spellEnd"/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-XAD 7.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>El</w:t>
      </w:r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extracto de té verde se </w:t>
      </w:r>
      <w:r w:rsidR="000C0BAD">
        <w:rPr>
          <w:rFonts w:ascii="Arial" w:eastAsia="Times New Roman" w:hAnsi="Arial" w:cs="Arial"/>
          <w:color w:val="auto"/>
          <w:position w:val="-1"/>
          <w:lang w:eastAsia="en-US"/>
        </w:rPr>
        <w:t xml:space="preserve">obtuvo por </w:t>
      </w:r>
      <w:r w:rsidR="000047E0" w:rsidRPr="000047E0">
        <w:rPr>
          <w:rFonts w:ascii="Arial" w:eastAsia="Times New Roman" w:hAnsi="Arial" w:cs="Arial"/>
          <w:color w:val="auto"/>
          <w:position w:val="-1"/>
          <w:lang w:eastAsia="en-US"/>
        </w:rPr>
        <w:t>decocción.</w:t>
      </w:r>
      <w:r w:rsidR="000047E0">
        <w:rPr>
          <w:rFonts w:ascii="Arial" w:eastAsia="Times New Roman" w:hAnsi="Arial" w:cs="Arial"/>
          <w:color w:val="auto"/>
          <w:position w:val="-1"/>
          <w:lang w:eastAsia="en-US"/>
        </w:rPr>
        <w:t xml:space="preserve"> La capacidad antioxidante de los extractos fue determinada por el método del DPPH y comparada con la capacidad antioxidante de compuestos sintéticos como el BHT y el ácido ascórbico.</w:t>
      </w:r>
      <w:r w:rsidR="003F5F14" w:rsidRPr="003F5F14">
        <w:t xml:space="preserve"> 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Los porcentajes de inhibición obtenidos fueron: 93,81% y 94,08% para el extracto de chañar y </w:t>
      </w:r>
      <w:r w:rsidR="0031583C">
        <w:rPr>
          <w:rFonts w:ascii="Arial" w:eastAsia="Times New Roman" w:hAnsi="Arial" w:cs="Arial"/>
          <w:color w:val="auto"/>
          <w:position w:val="-1"/>
          <w:lang w:eastAsia="en-US"/>
        </w:rPr>
        <w:t>de</w:t>
      </w:r>
      <w:r w:rsid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té verde, respectivamente, a concentraciones de 0,045 mg/ml. Estos resultados </w:t>
      </w:r>
      <w:r w:rsidR="0031583C">
        <w:rPr>
          <w:rFonts w:ascii="Arial" w:eastAsia="Times New Roman" w:hAnsi="Arial" w:cs="Arial"/>
          <w:color w:val="auto"/>
          <w:position w:val="-1"/>
          <w:lang w:eastAsia="en-US"/>
        </w:rPr>
        <w:t>fueron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similar</w:t>
      </w:r>
      <w:r w:rsidR="0031583C">
        <w:rPr>
          <w:rFonts w:ascii="Arial" w:eastAsia="Times New Roman" w:hAnsi="Arial" w:cs="Arial"/>
          <w:color w:val="auto"/>
          <w:position w:val="-1"/>
          <w:lang w:eastAsia="en-US"/>
        </w:rPr>
        <w:t>es a los obtenidos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para 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el 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BHT a 0,052 mg/ml y </w:t>
      </w:r>
      <w:r w:rsid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el 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Ácido Ascórbico a 0,015 mg/ml. 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Las películas activas de pectina y AO se prepararon por el método de evaporación del solvente adicionando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>concentraciones definidas de los extractos</w:t>
      </w:r>
      <w:r w:rsidR="00E61F3C">
        <w:rPr>
          <w:rFonts w:ascii="Arial" w:eastAsia="Times New Roman" w:hAnsi="Arial" w:cs="Arial"/>
          <w:color w:val="auto"/>
          <w:position w:val="-1"/>
          <w:lang w:eastAsia="en-US"/>
        </w:rPr>
        <w:t xml:space="preserve"> (1,25 mg/g)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Los resultados </w:t>
      </w:r>
      <w:r w:rsidR="00225836">
        <w:rPr>
          <w:rFonts w:ascii="Arial" w:eastAsia="Times New Roman" w:hAnsi="Arial" w:cs="Arial"/>
          <w:color w:val="auto"/>
          <w:position w:val="-1"/>
          <w:lang w:eastAsia="en-US"/>
        </w:rPr>
        <w:t xml:space="preserve">de captación del radical DPPH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>evidenciaron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que l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>a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s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>películas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conservaron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>la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 xml:space="preserve"> capacidad antioxidante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 de los extractos libres</w:t>
      </w:r>
      <w:r w:rsidR="003F5F14" w:rsidRPr="003F5F14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 xml:space="preserve"> Finalmente, se contactaron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 las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 xml:space="preserve"> películas activas con aceite de girasol (Marca </w:t>
      </w:r>
      <w:r w:rsidR="00827841">
        <w:rPr>
          <w:rFonts w:ascii="Arial" w:eastAsia="Times New Roman" w:hAnsi="Arial" w:cs="Arial"/>
          <w:color w:val="auto"/>
          <w:position w:val="-1"/>
          <w:lang w:eastAsia="en-US"/>
        </w:rPr>
        <w:t>Campo Claro</w:t>
      </w:r>
      <w:r w:rsidR="006C190D">
        <w:rPr>
          <w:rFonts w:ascii="Arial" w:eastAsia="Times New Roman" w:hAnsi="Arial" w:cs="Arial"/>
          <w:color w:val="auto"/>
          <w:position w:val="-1"/>
          <w:lang w:eastAsia="en-US"/>
        </w:rPr>
        <w:t>) libre de conservantes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 y se determinó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 el grado de oxidación </w:t>
      </w:r>
      <w:r w:rsidR="00F1085C">
        <w:rPr>
          <w:rFonts w:ascii="Arial" w:eastAsia="Times New Roman" w:hAnsi="Arial" w:cs="Arial"/>
          <w:color w:val="auto"/>
          <w:position w:val="-1"/>
          <w:lang w:eastAsia="en-US"/>
        </w:rPr>
        <w:t xml:space="preserve">del aceite </w:t>
      </w:r>
      <w:r w:rsidRPr="00BF67D9">
        <w:rPr>
          <w:rFonts w:ascii="Arial" w:eastAsia="Times New Roman" w:hAnsi="Arial" w:cs="Arial"/>
          <w:color w:val="auto"/>
          <w:position w:val="-1"/>
          <w:lang w:eastAsia="en-US"/>
        </w:rPr>
        <w:t xml:space="preserve">mediante el 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>índice de peróxido (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IP, 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>método de AOAC, 1995)</w:t>
      </w:r>
      <w:r w:rsidR="00A23FB0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a los 10, 20 y 30 días de almacenamiento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A23FB0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Los resultados </w:t>
      </w:r>
      <w:r w:rsidR="00F1085C" w:rsidRPr="00D06174">
        <w:rPr>
          <w:rFonts w:ascii="Arial" w:eastAsia="Times New Roman" w:hAnsi="Arial" w:cs="Arial"/>
          <w:color w:val="auto"/>
          <w:position w:val="-1"/>
          <w:lang w:eastAsia="en-US"/>
        </w:rPr>
        <w:t>mostraron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un aumento del 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IP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con el tiempo de almacenamiento, tanto en </w:t>
      </w:r>
      <w:r w:rsidR="00A23FB0" w:rsidRPr="00D06174">
        <w:rPr>
          <w:rFonts w:ascii="Arial" w:eastAsia="Times New Roman" w:hAnsi="Arial" w:cs="Arial"/>
          <w:color w:val="auto"/>
          <w:position w:val="-1"/>
          <w:lang w:eastAsia="en-US"/>
        </w:rPr>
        <w:t>la muestra control</w:t>
      </w:r>
      <w:r w:rsidR="0031583C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(aceite sin envasar)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como en las muestras en contacto con las películas </w:t>
      </w:r>
      <w:r w:rsidR="0031583C" w:rsidRPr="00D06174">
        <w:rPr>
          <w:rFonts w:ascii="Arial" w:eastAsia="Times New Roman" w:hAnsi="Arial" w:cs="Arial"/>
          <w:color w:val="auto"/>
          <w:position w:val="-1"/>
          <w:lang w:eastAsia="en-US"/>
        </w:rPr>
        <w:t>activas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827841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  <w:r w:rsidR="00D06174" w:rsidRPr="00D06174">
        <w:rPr>
          <w:rFonts w:ascii="Arial" w:eastAsia="Times New Roman" w:hAnsi="Arial" w:cs="Arial"/>
          <w:color w:val="auto"/>
          <w:position w:val="-1"/>
          <w:lang w:eastAsia="en-US"/>
        </w:rPr>
        <w:t>No obstante</w:t>
      </w:r>
      <w:r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, 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estas últimas presentaron menor 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IP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respecto de la muestra control. Al cabo de los 30 días de almacenamiento la película activa con extracto de té verde </w:t>
      </w:r>
      <w:r w:rsidR="00D06174" w:rsidRPr="00D06174">
        <w:rPr>
          <w:rFonts w:ascii="Arial" w:eastAsia="Times New Roman" w:hAnsi="Arial" w:cs="Arial"/>
          <w:color w:val="auto"/>
          <w:position w:val="-1"/>
          <w:lang w:eastAsia="en-US"/>
        </w:rPr>
        <w:t>evidenció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mayor conservación del aceite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(IP= 6,02 mEq O</w:t>
      </w:r>
      <w:r w:rsidR="00F83C4F" w:rsidRPr="00D06174">
        <w:rPr>
          <w:rFonts w:ascii="Arial" w:eastAsia="Times New Roman" w:hAnsi="Arial" w:cs="Arial"/>
          <w:color w:val="auto"/>
          <w:position w:val="-1"/>
          <w:vertAlign w:val="subscript"/>
          <w:lang w:eastAsia="en-US"/>
        </w:rPr>
        <w:t>2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>/Kg de muestra)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, seguida por la película con extracto de chañar 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>(IP= 9,24 mEq O</w:t>
      </w:r>
      <w:r w:rsidR="00F83C4F" w:rsidRPr="00D06174">
        <w:rPr>
          <w:rFonts w:ascii="Arial" w:eastAsia="Times New Roman" w:hAnsi="Arial" w:cs="Arial"/>
          <w:color w:val="auto"/>
          <w:position w:val="-1"/>
          <w:vertAlign w:val="subscript"/>
          <w:lang w:eastAsia="en-US"/>
        </w:rPr>
        <w:t>2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/Kg de muestra) 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>y finalmente la película con ácido ascórbico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(IP= 9,38 mEq O</w:t>
      </w:r>
      <w:r w:rsidR="00F83C4F" w:rsidRPr="00D06174">
        <w:rPr>
          <w:rFonts w:ascii="Arial" w:eastAsia="Times New Roman" w:hAnsi="Arial" w:cs="Arial"/>
          <w:color w:val="auto"/>
          <w:position w:val="-1"/>
          <w:vertAlign w:val="subscript"/>
          <w:lang w:eastAsia="en-US"/>
        </w:rPr>
        <w:t>2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>/Kg de muestra)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>.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Mientras que </w:t>
      </w:r>
      <w:r w:rsidR="00D06174" w:rsidRPr="00D06174">
        <w:rPr>
          <w:rFonts w:ascii="Arial" w:eastAsia="Times New Roman" w:hAnsi="Arial" w:cs="Arial"/>
          <w:color w:val="auto"/>
          <w:position w:val="-1"/>
          <w:lang w:eastAsia="en-US"/>
        </w:rPr>
        <w:t>la muestra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control presentó un IP= 14,88 mEq O</w:t>
      </w:r>
      <w:r w:rsidR="00F83C4F" w:rsidRPr="00D06174">
        <w:rPr>
          <w:rFonts w:ascii="Arial" w:eastAsia="Times New Roman" w:hAnsi="Arial" w:cs="Arial"/>
          <w:color w:val="auto"/>
          <w:position w:val="-1"/>
          <w:vertAlign w:val="subscript"/>
          <w:lang w:eastAsia="en-US"/>
        </w:rPr>
        <w:t>2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/Kg de muestra. Estos resultados </w:t>
      </w:r>
      <w:r w:rsidR="00840D8F" w:rsidRPr="00D06174">
        <w:rPr>
          <w:rFonts w:ascii="Arial" w:eastAsia="Times New Roman" w:hAnsi="Arial" w:cs="Arial"/>
          <w:color w:val="auto"/>
          <w:position w:val="-1"/>
          <w:lang w:eastAsia="en-US"/>
        </w:rPr>
        <w:t>permit</w:t>
      </w:r>
      <w:r w:rsidR="00840D8F">
        <w:rPr>
          <w:rFonts w:ascii="Arial" w:eastAsia="Times New Roman" w:hAnsi="Arial" w:cs="Arial"/>
          <w:color w:val="auto"/>
          <w:position w:val="-1"/>
          <w:lang w:eastAsia="en-US"/>
        </w:rPr>
        <w:t>ier</w:t>
      </w:r>
      <w:r w:rsidR="00840D8F" w:rsidRPr="00D06174">
        <w:rPr>
          <w:rFonts w:ascii="Arial" w:eastAsia="Times New Roman" w:hAnsi="Arial" w:cs="Arial"/>
          <w:color w:val="auto"/>
          <w:position w:val="-1"/>
          <w:lang w:eastAsia="en-US"/>
        </w:rPr>
        <w:t>on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concluir que los </w:t>
      </w:r>
      <w:r w:rsidR="00F83C4F" w:rsidRPr="00D06174">
        <w:rPr>
          <w:rFonts w:ascii="Arial" w:eastAsia="Times New Roman" w:hAnsi="Arial" w:cs="Arial"/>
          <w:color w:val="auto"/>
          <w:position w:val="-1"/>
          <w:lang w:eastAsia="en-US"/>
        </w:rPr>
        <w:lastRenderedPageBreak/>
        <w:t xml:space="preserve">envases activos formulados con compuestos antioxidantes naturales son efectivos en prolongar la vida útil de un aceite libre de conservantes.  </w:t>
      </w:r>
      <w:r w:rsidR="00C819FF" w:rsidRPr="00D06174">
        <w:rPr>
          <w:rFonts w:ascii="Arial" w:eastAsia="Times New Roman" w:hAnsi="Arial" w:cs="Arial"/>
          <w:color w:val="auto"/>
          <w:position w:val="-1"/>
          <w:lang w:eastAsia="en-US"/>
        </w:rPr>
        <w:t xml:space="preserve"> </w:t>
      </w:r>
    </w:p>
    <w:p w14:paraId="1E4D0F21" w14:textId="77777777" w:rsidR="00C819FF" w:rsidRDefault="00C819FF" w:rsidP="00BF67D9">
      <w:pPr>
        <w:spacing w:after="0" w:line="240" w:lineRule="auto"/>
        <w:ind w:left="0" w:hanging="2"/>
      </w:pPr>
    </w:p>
    <w:p w14:paraId="6300C87D" w14:textId="446EFCAA" w:rsidR="00F008BE" w:rsidRDefault="001A22A3" w:rsidP="00BF67D9">
      <w:pPr>
        <w:spacing w:after="0" w:line="240" w:lineRule="auto"/>
        <w:ind w:left="0" w:hanging="2"/>
      </w:pPr>
      <w:r>
        <w:t xml:space="preserve">Palabras Clave: </w:t>
      </w:r>
      <w:r w:rsidR="00F83C4F">
        <w:t>Pectina</w:t>
      </w:r>
      <w:r w:rsidR="004A3FC0">
        <w:t xml:space="preserve">, </w:t>
      </w:r>
      <w:r w:rsidR="00F83C4F">
        <w:t>Chañar</w:t>
      </w:r>
      <w:r w:rsidR="002661C2">
        <w:t xml:space="preserve">, </w:t>
      </w:r>
      <w:r w:rsidR="00F83C4F">
        <w:t>Té verde</w:t>
      </w:r>
      <w:r w:rsidR="002661C2">
        <w:t>,</w:t>
      </w:r>
      <w:r w:rsidR="00F14900">
        <w:t xml:space="preserve"> DPPH, Índice de peróxidos</w:t>
      </w:r>
      <w:r w:rsidR="00974630">
        <w:t>.</w:t>
      </w:r>
    </w:p>
    <w:p w14:paraId="301860FE" w14:textId="77777777" w:rsidR="00F008BE" w:rsidRDefault="00F008BE" w:rsidP="00BF67D9">
      <w:pPr>
        <w:spacing w:after="0" w:line="240" w:lineRule="auto"/>
        <w:ind w:left="0" w:hanging="2"/>
      </w:pPr>
    </w:p>
    <w:p w14:paraId="324DBFB3" w14:textId="77777777" w:rsidR="00F008BE" w:rsidRDefault="00F008BE" w:rsidP="00BF67D9">
      <w:pPr>
        <w:spacing w:after="0" w:line="240" w:lineRule="auto"/>
        <w:ind w:left="0" w:hanging="2"/>
      </w:pPr>
    </w:p>
    <w:p w14:paraId="6BBFFE2E" w14:textId="77777777" w:rsidR="00F008BE" w:rsidRDefault="00F008BE" w:rsidP="00BF67D9">
      <w:pPr>
        <w:spacing w:after="0" w:line="240" w:lineRule="auto"/>
        <w:ind w:left="0" w:hanging="2"/>
      </w:pPr>
      <w:bookmarkStart w:id="0" w:name="_GoBack"/>
      <w:bookmarkEnd w:id="0"/>
    </w:p>
    <w:sectPr w:rsidR="00F00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38F90" w14:textId="77777777" w:rsidR="003B7FAE" w:rsidRDefault="003B7F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E8A458" w14:textId="77777777" w:rsidR="003B7FAE" w:rsidRDefault="003B7F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1352E" w14:textId="77777777" w:rsidR="00D7648E" w:rsidRDefault="00D7648E" w:rsidP="00D7648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D261F" w14:textId="77777777" w:rsidR="00D7648E" w:rsidRDefault="00D7648E" w:rsidP="00D7648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812A" w14:textId="77777777" w:rsidR="00D7648E" w:rsidRDefault="00D7648E" w:rsidP="00D7648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7DAFD" w14:textId="77777777" w:rsidR="003B7FAE" w:rsidRDefault="003B7F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70A6D9" w14:textId="77777777" w:rsidR="003B7FAE" w:rsidRDefault="003B7F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89058" w14:textId="77777777" w:rsidR="00D7648E" w:rsidRDefault="00D7648E" w:rsidP="00D7648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E74F6" w14:textId="77777777" w:rsidR="00F008BE" w:rsidRDefault="001A22A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6D3B578" wp14:editId="52E588F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B646" w14:textId="77777777" w:rsidR="00D7648E" w:rsidRDefault="00D7648E" w:rsidP="00D7648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BE"/>
    <w:rsid w:val="000047E0"/>
    <w:rsid w:val="000A76C9"/>
    <w:rsid w:val="000C0BAD"/>
    <w:rsid w:val="001A22A3"/>
    <w:rsid w:val="001F23E9"/>
    <w:rsid w:val="001F5A02"/>
    <w:rsid w:val="0020577B"/>
    <w:rsid w:val="00225836"/>
    <w:rsid w:val="0026314D"/>
    <w:rsid w:val="00265395"/>
    <w:rsid w:val="002661C2"/>
    <w:rsid w:val="002B4E87"/>
    <w:rsid w:val="0031583C"/>
    <w:rsid w:val="00377648"/>
    <w:rsid w:val="003B7FAE"/>
    <w:rsid w:val="003D44F8"/>
    <w:rsid w:val="003F5F14"/>
    <w:rsid w:val="004114DC"/>
    <w:rsid w:val="00412019"/>
    <w:rsid w:val="00445C8F"/>
    <w:rsid w:val="00460F3C"/>
    <w:rsid w:val="00476463"/>
    <w:rsid w:val="004A3FC0"/>
    <w:rsid w:val="004D2E4D"/>
    <w:rsid w:val="005436D8"/>
    <w:rsid w:val="005E673E"/>
    <w:rsid w:val="005F4CC9"/>
    <w:rsid w:val="0062479A"/>
    <w:rsid w:val="006B77E6"/>
    <w:rsid w:val="006C190D"/>
    <w:rsid w:val="006D450C"/>
    <w:rsid w:val="006E1FCD"/>
    <w:rsid w:val="00815710"/>
    <w:rsid w:val="00825699"/>
    <w:rsid w:val="00827841"/>
    <w:rsid w:val="00840D8F"/>
    <w:rsid w:val="008C4EB8"/>
    <w:rsid w:val="008C7168"/>
    <w:rsid w:val="008F7FDE"/>
    <w:rsid w:val="00901A68"/>
    <w:rsid w:val="009041FB"/>
    <w:rsid w:val="00974630"/>
    <w:rsid w:val="009E3F4A"/>
    <w:rsid w:val="00A23FB0"/>
    <w:rsid w:val="00A50607"/>
    <w:rsid w:val="00AA1CEB"/>
    <w:rsid w:val="00AD5D0B"/>
    <w:rsid w:val="00AE1AC7"/>
    <w:rsid w:val="00B04C1A"/>
    <w:rsid w:val="00B30612"/>
    <w:rsid w:val="00B67D9F"/>
    <w:rsid w:val="00B76673"/>
    <w:rsid w:val="00B776CF"/>
    <w:rsid w:val="00BF67D9"/>
    <w:rsid w:val="00C07EC0"/>
    <w:rsid w:val="00C230B3"/>
    <w:rsid w:val="00C71927"/>
    <w:rsid w:val="00C72FD1"/>
    <w:rsid w:val="00C819FF"/>
    <w:rsid w:val="00D06174"/>
    <w:rsid w:val="00D25A22"/>
    <w:rsid w:val="00D7648E"/>
    <w:rsid w:val="00D770F8"/>
    <w:rsid w:val="00D83E9E"/>
    <w:rsid w:val="00DC6890"/>
    <w:rsid w:val="00E170DC"/>
    <w:rsid w:val="00E61F3C"/>
    <w:rsid w:val="00E81F98"/>
    <w:rsid w:val="00EB60E4"/>
    <w:rsid w:val="00EC254A"/>
    <w:rsid w:val="00ED14A1"/>
    <w:rsid w:val="00F008BE"/>
    <w:rsid w:val="00F1085C"/>
    <w:rsid w:val="00F14900"/>
    <w:rsid w:val="00F63823"/>
    <w:rsid w:val="00F7574E"/>
    <w:rsid w:val="00F83082"/>
    <w:rsid w:val="00F83C4F"/>
    <w:rsid w:val="00F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62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25A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5A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5A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5A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5A22"/>
    <w:rPr>
      <w:b/>
      <w:bCs/>
      <w:position w:val="-1"/>
      <w:sz w:val="20"/>
      <w:szCs w:val="20"/>
      <w:lang w:eastAsia="en-US"/>
    </w:rPr>
  </w:style>
  <w:style w:type="paragraph" w:customStyle="1" w:styleId="Default">
    <w:name w:val="Default"/>
    <w:rsid w:val="0097463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AA1CE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653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25A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5A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5A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5A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5A22"/>
    <w:rPr>
      <w:b/>
      <w:bCs/>
      <w:position w:val="-1"/>
      <w:sz w:val="20"/>
      <w:szCs w:val="20"/>
      <w:lang w:eastAsia="en-US"/>
    </w:rPr>
  </w:style>
  <w:style w:type="paragraph" w:customStyle="1" w:styleId="Default">
    <w:name w:val="Default"/>
    <w:rsid w:val="0097463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AA1CE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65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yvicario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C102E3-A644-448E-8F95-E6087243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2022-07-27T14:45:00Z</dcterms:created>
  <dcterms:modified xsi:type="dcterms:W3CDTF">2022-07-27T14:45:00Z</dcterms:modified>
</cp:coreProperties>
</file>