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FF1E" w14:textId="78792BE3" w:rsidR="00E660CF" w:rsidRPr="008560E6" w:rsidRDefault="008B2E98" w:rsidP="00E660CF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Evaluación in vivo de</w:t>
      </w:r>
      <w:r w:rsidRPr="00D90AA6">
        <w:rPr>
          <w:b/>
          <w:color w:val="00B0F0"/>
        </w:rPr>
        <w:t xml:space="preserve"> </w:t>
      </w:r>
      <w:r w:rsidRPr="00857830">
        <w:rPr>
          <w:b/>
        </w:rPr>
        <w:t>la</w:t>
      </w:r>
      <w:r w:rsidRPr="00D90AA6">
        <w:rPr>
          <w:b/>
          <w:color w:val="00B0F0"/>
        </w:rPr>
        <w:t xml:space="preserve"> </w:t>
      </w:r>
      <w:r>
        <w:rPr>
          <w:b/>
        </w:rPr>
        <w:t xml:space="preserve">toxicidad de </w:t>
      </w:r>
      <w:proofErr w:type="spellStart"/>
      <w:r>
        <w:rPr>
          <w:b/>
        </w:rPr>
        <w:t>lipopeptidos</w:t>
      </w:r>
      <w:proofErr w:type="spellEnd"/>
      <w:r>
        <w:rPr>
          <w:b/>
        </w:rPr>
        <w:t xml:space="preserve"> sintetizados por</w:t>
      </w:r>
      <w:r w:rsidRPr="008560E6">
        <w:rPr>
          <w:b/>
        </w:rPr>
        <w:t xml:space="preserve"> </w:t>
      </w:r>
      <w:proofErr w:type="spellStart"/>
      <w:r w:rsidR="00E660CF" w:rsidRPr="00755B5B">
        <w:rPr>
          <w:b/>
          <w:i/>
        </w:rPr>
        <w:t>Bacillus</w:t>
      </w:r>
      <w:proofErr w:type="spellEnd"/>
      <w:r w:rsidR="00E660CF" w:rsidRPr="008560E6">
        <w:rPr>
          <w:b/>
          <w:i/>
        </w:rPr>
        <w:t xml:space="preserve"> </w:t>
      </w:r>
      <w:proofErr w:type="spellStart"/>
      <w:r w:rsidR="00E660CF" w:rsidRPr="008560E6">
        <w:rPr>
          <w:b/>
          <w:i/>
        </w:rPr>
        <w:t>subtilis</w:t>
      </w:r>
      <w:proofErr w:type="spellEnd"/>
      <w:r w:rsidR="00E660CF" w:rsidRPr="008560E6">
        <w:rPr>
          <w:b/>
        </w:rPr>
        <w:t xml:space="preserve"> </w:t>
      </w:r>
      <w:proofErr w:type="spellStart"/>
      <w:r w:rsidR="00E660CF" w:rsidRPr="008560E6">
        <w:rPr>
          <w:b/>
        </w:rPr>
        <w:t>subsp</w:t>
      </w:r>
      <w:proofErr w:type="spellEnd"/>
      <w:r w:rsidR="00E660CF" w:rsidRPr="008560E6">
        <w:rPr>
          <w:b/>
        </w:rPr>
        <w:t xml:space="preserve">. </w:t>
      </w:r>
      <w:proofErr w:type="spellStart"/>
      <w:r w:rsidR="00E660CF" w:rsidRPr="008560E6">
        <w:rPr>
          <w:b/>
          <w:i/>
        </w:rPr>
        <w:t>subtilis</w:t>
      </w:r>
      <w:proofErr w:type="spellEnd"/>
      <w:r w:rsidR="00E660CF">
        <w:rPr>
          <w:b/>
          <w:i/>
        </w:rPr>
        <w:t xml:space="preserve"> </w:t>
      </w:r>
      <w:r w:rsidR="00E660CF">
        <w:rPr>
          <w:b/>
        </w:rPr>
        <w:t>C4</w:t>
      </w:r>
    </w:p>
    <w:p w14:paraId="2A1FF718" w14:textId="77777777" w:rsidR="00E660CF" w:rsidRPr="008560E6" w:rsidRDefault="00E660CF" w:rsidP="00E660CF">
      <w:pPr>
        <w:spacing w:after="0" w:line="240" w:lineRule="auto"/>
        <w:ind w:left="0" w:hanging="2"/>
        <w:jc w:val="center"/>
      </w:pPr>
    </w:p>
    <w:p w14:paraId="27571B5A" w14:textId="1DCC3E22" w:rsidR="00E660CF" w:rsidRDefault="007427F2" w:rsidP="008B2E98">
      <w:pPr>
        <w:spacing w:after="0" w:line="240" w:lineRule="auto"/>
        <w:ind w:left="0" w:hanging="2"/>
        <w:jc w:val="center"/>
        <w:rPr>
          <w:bCs/>
        </w:rPr>
      </w:pPr>
      <w:proofErr w:type="spellStart"/>
      <w:r>
        <w:rPr>
          <w:bCs/>
        </w:rPr>
        <w:t>H</w:t>
      </w:r>
      <w:r w:rsidRPr="008B2E98">
        <w:rPr>
          <w:bCs/>
        </w:rPr>
        <w:t>uarachi</w:t>
      </w:r>
      <w:proofErr w:type="spellEnd"/>
      <w:r w:rsidR="00E660CF" w:rsidRPr="008B2E98">
        <w:rPr>
          <w:bCs/>
        </w:rPr>
        <w:t xml:space="preserve"> SF (1), </w:t>
      </w:r>
      <w:r>
        <w:rPr>
          <w:bCs/>
        </w:rPr>
        <w:t>V</w:t>
      </w:r>
      <w:r w:rsidRPr="008B2E98">
        <w:rPr>
          <w:bCs/>
        </w:rPr>
        <w:t>illena</w:t>
      </w:r>
      <w:r w:rsidR="00E660CF" w:rsidRPr="008B2E98">
        <w:rPr>
          <w:bCs/>
        </w:rPr>
        <w:t xml:space="preserve"> J (2)</w:t>
      </w:r>
      <w:r>
        <w:rPr>
          <w:bCs/>
        </w:rPr>
        <w:t>,</w:t>
      </w:r>
      <w:r w:rsidR="00E660CF" w:rsidRPr="008B2E98">
        <w:rPr>
          <w:bCs/>
        </w:rPr>
        <w:t xml:space="preserve"> </w:t>
      </w:r>
      <w:proofErr w:type="spellStart"/>
      <w:r>
        <w:rPr>
          <w:bCs/>
        </w:rPr>
        <w:t>P</w:t>
      </w:r>
      <w:r w:rsidRPr="008B2E98">
        <w:rPr>
          <w:bCs/>
        </w:rPr>
        <w:t>etroselli</w:t>
      </w:r>
      <w:proofErr w:type="spellEnd"/>
      <w:r w:rsidR="00E660CF" w:rsidRPr="008B2E98">
        <w:rPr>
          <w:bCs/>
        </w:rPr>
        <w:t xml:space="preserve"> </w:t>
      </w:r>
      <w:r>
        <w:rPr>
          <w:bCs/>
        </w:rPr>
        <w:t>G</w:t>
      </w:r>
      <w:r w:rsidR="00E660CF" w:rsidRPr="008B2E98">
        <w:rPr>
          <w:bCs/>
        </w:rPr>
        <w:t xml:space="preserve"> (3), </w:t>
      </w:r>
      <w:r w:rsidRPr="007427F2">
        <w:rPr>
          <w:bCs/>
        </w:rPr>
        <w:t>Audisio</w:t>
      </w:r>
      <w:r w:rsidR="00E660CF" w:rsidRPr="007427F2">
        <w:rPr>
          <w:bCs/>
        </w:rPr>
        <w:t xml:space="preserve"> MC</w:t>
      </w:r>
      <w:r w:rsidR="00E660CF" w:rsidRPr="008B2E98">
        <w:rPr>
          <w:bCs/>
        </w:rPr>
        <w:t xml:space="preserve"> (4)</w:t>
      </w:r>
    </w:p>
    <w:p w14:paraId="131152C6" w14:textId="77777777" w:rsidR="008B2E98" w:rsidRPr="008B2E98" w:rsidRDefault="008B2E98" w:rsidP="008B2E98">
      <w:pPr>
        <w:spacing w:after="0" w:line="240" w:lineRule="auto"/>
        <w:ind w:left="0" w:hanging="2"/>
        <w:jc w:val="center"/>
        <w:rPr>
          <w:bCs/>
        </w:rPr>
      </w:pPr>
    </w:p>
    <w:p w14:paraId="53C1180C" w14:textId="2E5B3E70" w:rsidR="00E660CF" w:rsidRPr="008560E6" w:rsidRDefault="007427F2" w:rsidP="007427F2">
      <w:pPr>
        <w:spacing w:after="120" w:line="240" w:lineRule="auto"/>
        <w:ind w:left="0" w:hanging="2"/>
        <w:rPr>
          <w:rFonts w:eastAsiaTheme="minorEastAsia"/>
          <w:lang w:val="es-PR" w:eastAsia="es-PR"/>
        </w:rPr>
      </w:pPr>
      <w:r>
        <w:t>(</w:t>
      </w:r>
      <w:r w:rsidR="00E660CF" w:rsidRPr="008560E6">
        <w:t>1</w:t>
      </w:r>
      <w:r>
        <w:t>)</w:t>
      </w:r>
      <w:r w:rsidR="00E660CF" w:rsidRPr="008560E6">
        <w:t xml:space="preserve"> Facultad de C</w:t>
      </w:r>
      <w:r w:rsidR="00E660CF">
        <w:t>iencias</w:t>
      </w:r>
      <w:r w:rsidR="00E660CF" w:rsidRPr="008560E6">
        <w:t xml:space="preserve"> Agrarias. </w:t>
      </w:r>
      <w:r w:rsidR="00E660CF" w:rsidRPr="008560E6">
        <w:rPr>
          <w:rFonts w:eastAsiaTheme="minorEastAsia"/>
          <w:lang w:val="es-PR" w:eastAsia="es-PR"/>
        </w:rPr>
        <w:t>Universidad Nacional de Jujuy</w:t>
      </w:r>
      <w:r w:rsidR="000C5B8F">
        <w:rPr>
          <w:rFonts w:eastAsiaTheme="minorEastAsia"/>
          <w:lang w:val="es-PR" w:eastAsia="es-PR"/>
        </w:rPr>
        <w:t>.</w:t>
      </w:r>
      <w:r w:rsidR="000C5B8F" w:rsidRPr="000C5B8F">
        <w:rPr>
          <w:rFonts w:eastAsiaTheme="minorEastAsia"/>
          <w:lang w:val="es-PR" w:eastAsia="es-PR"/>
        </w:rPr>
        <w:t xml:space="preserve"> </w:t>
      </w:r>
      <w:r w:rsidR="00D26648">
        <w:rPr>
          <w:rFonts w:eastAsiaTheme="minorEastAsia"/>
          <w:lang w:val="es-PR" w:eastAsia="es-PR"/>
        </w:rPr>
        <w:t xml:space="preserve">Juan Bautista Alberdi 47. Y4600. San Salvador de Jujuy. Jujuy. </w:t>
      </w:r>
      <w:r w:rsidR="000C5B8F">
        <w:rPr>
          <w:rFonts w:eastAsiaTheme="minorEastAsia"/>
          <w:lang w:val="es-PR" w:eastAsia="es-PR"/>
        </w:rPr>
        <w:t>Argentina.</w:t>
      </w:r>
    </w:p>
    <w:p w14:paraId="31C461B9" w14:textId="6352EA21" w:rsidR="00E660CF" w:rsidRDefault="007427F2" w:rsidP="007427F2">
      <w:pPr>
        <w:spacing w:after="120"/>
        <w:ind w:left="0" w:hanging="2"/>
        <w:rPr>
          <w:shd w:val="clear" w:color="auto" w:fill="FFFFFF"/>
        </w:rPr>
      </w:pPr>
      <w:r>
        <w:rPr>
          <w:rFonts w:eastAsiaTheme="minorEastAsia"/>
          <w:lang w:val="es-PR" w:eastAsia="es-PR"/>
        </w:rPr>
        <w:t>(</w:t>
      </w:r>
      <w:r w:rsidR="00E660CF" w:rsidRPr="008560E6">
        <w:rPr>
          <w:rFonts w:eastAsiaTheme="minorEastAsia"/>
          <w:lang w:val="es-PR" w:eastAsia="es-PR"/>
        </w:rPr>
        <w:t>2</w:t>
      </w:r>
      <w:r>
        <w:rPr>
          <w:rFonts w:eastAsiaTheme="minorEastAsia"/>
          <w:lang w:val="es-PR" w:eastAsia="es-PR"/>
        </w:rPr>
        <w:t>)</w:t>
      </w:r>
      <w:r w:rsidR="00E660CF" w:rsidRPr="008560E6">
        <w:rPr>
          <w:shd w:val="clear" w:color="auto" w:fill="FFFFFF"/>
        </w:rPr>
        <w:t xml:space="preserve"> </w:t>
      </w:r>
      <w:r w:rsidR="00E660CF">
        <w:rPr>
          <w:shd w:val="clear" w:color="auto" w:fill="FFFFFF"/>
        </w:rPr>
        <w:t xml:space="preserve">Centro de Referencia para Lactobacilos CERELA-CONICET. </w:t>
      </w:r>
      <w:r w:rsidR="002069A9">
        <w:rPr>
          <w:shd w:val="clear" w:color="auto" w:fill="FFFFFF"/>
        </w:rPr>
        <w:t xml:space="preserve">Chacabuco 145. 4000 – S.M. de Tucumán. </w:t>
      </w:r>
      <w:r w:rsidR="00D26648">
        <w:rPr>
          <w:shd w:val="clear" w:color="auto" w:fill="FFFFFF"/>
        </w:rPr>
        <w:t xml:space="preserve">Tucumán. </w:t>
      </w:r>
      <w:r w:rsidR="000C5B8F">
        <w:rPr>
          <w:rFonts w:eastAsiaTheme="minorEastAsia"/>
          <w:lang w:val="es-PR" w:eastAsia="es-PR"/>
        </w:rPr>
        <w:t>Argentina.</w:t>
      </w:r>
    </w:p>
    <w:p w14:paraId="55E5B61F" w14:textId="0CF33E6F" w:rsidR="00E660CF" w:rsidRPr="008560E6" w:rsidRDefault="007427F2" w:rsidP="007427F2">
      <w:pPr>
        <w:spacing w:after="120"/>
        <w:ind w:left="0" w:hanging="2"/>
        <w:rPr>
          <w:rFonts w:eastAsiaTheme="minorEastAsia"/>
          <w:lang w:val="es-PR" w:eastAsia="es-PR"/>
        </w:rPr>
      </w:pPr>
      <w:r>
        <w:rPr>
          <w:shd w:val="clear" w:color="auto" w:fill="FFFFFF"/>
        </w:rPr>
        <w:t>(</w:t>
      </w:r>
      <w:r w:rsidR="00E660CF">
        <w:rPr>
          <w:shd w:val="clear" w:color="auto" w:fill="FFFFFF"/>
        </w:rPr>
        <w:t>3</w:t>
      </w:r>
      <w:r>
        <w:rPr>
          <w:shd w:val="clear" w:color="auto" w:fill="FFFFFF"/>
        </w:rPr>
        <w:t>)</w:t>
      </w:r>
      <w:r w:rsidR="00E660CF">
        <w:rPr>
          <w:shd w:val="clear" w:color="auto" w:fill="FFFFFF"/>
        </w:rPr>
        <w:t xml:space="preserve"> </w:t>
      </w:r>
      <w:r w:rsidR="00E660CF" w:rsidRPr="008560E6">
        <w:rPr>
          <w:shd w:val="clear" w:color="auto" w:fill="FFFFFF"/>
        </w:rPr>
        <w:t xml:space="preserve">Facultad de </w:t>
      </w:r>
      <w:r w:rsidR="00E660CF" w:rsidRPr="00F5785E">
        <w:rPr>
          <w:shd w:val="clear" w:color="auto" w:fill="FFFFFF"/>
        </w:rPr>
        <w:t xml:space="preserve">Ciencias Exactas y Naturales. </w:t>
      </w:r>
      <w:r w:rsidR="00E660CF" w:rsidRPr="00F5785E">
        <w:rPr>
          <w:rFonts w:eastAsiaTheme="minorEastAsia"/>
          <w:lang w:val="es-PR" w:eastAsia="es-PR"/>
        </w:rPr>
        <w:t xml:space="preserve">Universidad de </w:t>
      </w:r>
      <w:r w:rsidR="00E660CF" w:rsidRPr="00F5785E">
        <w:rPr>
          <w:shd w:val="clear" w:color="auto" w:fill="FFFFFF"/>
        </w:rPr>
        <w:t xml:space="preserve">Buenos Aires. CIHIDECAR-CONICET. </w:t>
      </w:r>
      <w:r w:rsidR="00F5785E" w:rsidRPr="00F5785E">
        <w:rPr>
          <w:shd w:val="clear" w:color="auto" w:fill="FFFFFF"/>
        </w:rPr>
        <w:t>A</w:t>
      </w:r>
      <w:r w:rsidR="00F5785E" w:rsidRPr="00F5785E">
        <w:rPr>
          <w:color w:val="202124"/>
          <w:shd w:val="clear" w:color="auto" w:fill="FFFFFF"/>
        </w:rPr>
        <w:t xml:space="preserve">v. </w:t>
      </w:r>
      <w:proofErr w:type="spellStart"/>
      <w:r w:rsidR="00F5785E" w:rsidRPr="00F5785E">
        <w:rPr>
          <w:color w:val="202124"/>
          <w:shd w:val="clear" w:color="auto" w:fill="FFFFFF"/>
        </w:rPr>
        <w:t>Int</w:t>
      </w:r>
      <w:proofErr w:type="spellEnd"/>
      <w:r w:rsidR="00F5785E" w:rsidRPr="00F5785E">
        <w:rPr>
          <w:color w:val="202124"/>
          <w:shd w:val="clear" w:color="auto" w:fill="FFFFFF"/>
        </w:rPr>
        <w:t xml:space="preserve">. </w:t>
      </w:r>
      <w:proofErr w:type="spellStart"/>
      <w:r w:rsidR="00F5785E" w:rsidRPr="00F5785E">
        <w:rPr>
          <w:color w:val="202124"/>
          <w:shd w:val="clear" w:color="auto" w:fill="FFFFFF"/>
        </w:rPr>
        <w:t>Cantilo</w:t>
      </w:r>
      <w:proofErr w:type="spellEnd"/>
      <w:r w:rsidR="00F5785E" w:rsidRPr="00F5785E">
        <w:rPr>
          <w:color w:val="202124"/>
          <w:shd w:val="clear" w:color="auto" w:fill="FFFFFF"/>
        </w:rPr>
        <w:t xml:space="preserve">. Buenos Aires. </w:t>
      </w:r>
      <w:r w:rsidR="000C5B8F" w:rsidRPr="00F5785E">
        <w:rPr>
          <w:rFonts w:eastAsiaTheme="minorEastAsia"/>
          <w:lang w:val="es-PR" w:eastAsia="es-PR"/>
        </w:rPr>
        <w:t>Argentina</w:t>
      </w:r>
      <w:r w:rsidR="000C5B8F">
        <w:rPr>
          <w:rFonts w:eastAsiaTheme="minorEastAsia"/>
          <w:lang w:val="es-PR" w:eastAsia="es-PR"/>
        </w:rPr>
        <w:t>.</w:t>
      </w:r>
    </w:p>
    <w:p w14:paraId="68889AC7" w14:textId="234E9DDB" w:rsidR="00E660CF" w:rsidRDefault="007427F2" w:rsidP="007427F2">
      <w:pPr>
        <w:spacing w:after="120"/>
        <w:ind w:left="0" w:hanging="2"/>
        <w:rPr>
          <w:rFonts w:eastAsiaTheme="minorEastAsia"/>
          <w:lang w:val="es-PR" w:eastAsia="es-PR"/>
        </w:rPr>
      </w:pPr>
      <w:r>
        <w:rPr>
          <w:rFonts w:eastAsiaTheme="minorEastAsia"/>
          <w:lang w:val="es-PR" w:eastAsia="es-PR"/>
        </w:rPr>
        <w:t>(</w:t>
      </w:r>
      <w:r w:rsidR="00E660CF">
        <w:rPr>
          <w:rFonts w:eastAsiaTheme="minorEastAsia"/>
          <w:lang w:val="es-PR" w:eastAsia="es-PR"/>
        </w:rPr>
        <w:t>4</w:t>
      </w:r>
      <w:r>
        <w:rPr>
          <w:rFonts w:eastAsiaTheme="minorEastAsia"/>
          <w:lang w:val="es-PR" w:eastAsia="es-PR"/>
        </w:rPr>
        <w:t>)</w:t>
      </w:r>
      <w:r w:rsidR="00E660CF" w:rsidRPr="008560E6">
        <w:rPr>
          <w:rFonts w:eastAsiaTheme="minorEastAsia"/>
          <w:lang w:val="es-PR" w:eastAsia="es-PR"/>
        </w:rPr>
        <w:t xml:space="preserve"> INIQUI </w:t>
      </w:r>
      <w:r w:rsidR="00E660CF">
        <w:rPr>
          <w:rFonts w:eastAsiaTheme="minorEastAsia"/>
          <w:lang w:val="es-PR" w:eastAsia="es-PR"/>
        </w:rPr>
        <w:t>–</w:t>
      </w:r>
      <w:r w:rsidR="00E660CF" w:rsidRPr="008560E6">
        <w:rPr>
          <w:rFonts w:eastAsiaTheme="minorEastAsia"/>
          <w:lang w:val="es-PR" w:eastAsia="es-PR"/>
        </w:rPr>
        <w:t>CONICET</w:t>
      </w:r>
      <w:r w:rsidR="00E660CF">
        <w:rPr>
          <w:rFonts w:eastAsiaTheme="minorEastAsia"/>
          <w:lang w:val="es-PR" w:eastAsia="es-PR"/>
        </w:rPr>
        <w:t>,</w:t>
      </w:r>
      <w:r w:rsidR="00E660CF" w:rsidRPr="008560E6">
        <w:rPr>
          <w:rFonts w:eastAsiaTheme="minorEastAsia"/>
          <w:lang w:val="es-PR" w:eastAsia="es-PR"/>
        </w:rPr>
        <w:t xml:space="preserve"> </w:t>
      </w:r>
      <w:r w:rsidR="00E660CF">
        <w:rPr>
          <w:rFonts w:eastAsiaTheme="minorEastAsia"/>
          <w:lang w:val="es-PR" w:eastAsia="es-PR"/>
        </w:rPr>
        <w:t>Universidad Nacional de Salta.</w:t>
      </w:r>
      <w:r w:rsidR="00E660CF" w:rsidRPr="008560E6">
        <w:rPr>
          <w:rFonts w:eastAsiaTheme="minorEastAsia"/>
          <w:lang w:val="es-PR" w:eastAsia="es-PR"/>
        </w:rPr>
        <w:t xml:space="preserve"> Av. Bolivia 5.150, Salta. CP 4408FVY.</w:t>
      </w:r>
      <w:r w:rsidR="000C5B8F">
        <w:rPr>
          <w:rFonts w:eastAsiaTheme="minorEastAsia"/>
          <w:lang w:val="es-PR" w:eastAsia="es-PR"/>
        </w:rPr>
        <w:t xml:space="preserve"> Argentina.</w:t>
      </w:r>
    </w:p>
    <w:p w14:paraId="5BA6A420" w14:textId="77777777" w:rsidR="00E660CF" w:rsidRPr="005F118D" w:rsidRDefault="00E660CF" w:rsidP="00E660CF">
      <w:pPr>
        <w:spacing w:after="0"/>
        <w:ind w:left="0" w:hanging="2"/>
        <w:rPr>
          <w:color w:val="FF0000"/>
        </w:rPr>
      </w:pPr>
      <w:proofErr w:type="spellStart"/>
      <w:r>
        <w:t>carina.</w:t>
      </w:r>
      <w:r w:rsidRPr="00E660CF">
        <w:t>audisio@gmail.comr</w:t>
      </w:r>
      <w:proofErr w:type="spellEnd"/>
    </w:p>
    <w:p w14:paraId="22F345AE" w14:textId="77777777" w:rsidR="00E660CF" w:rsidRDefault="00E660CF" w:rsidP="00E660CF">
      <w:pPr>
        <w:spacing w:after="0"/>
        <w:ind w:left="0" w:hanging="2"/>
        <w:rPr>
          <w:color w:val="FF0000"/>
        </w:rPr>
      </w:pPr>
    </w:p>
    <w:p w14:paraId="41D7F27C" w14:textId="7A2B5C50" w:rsidR="00E660CF" w:rsidRDefault="00E660CF" w:rsidP="00E660CF">
      <w:pPr>
        <w:spacing w:after="0"/>
        <w:ind w:left="0" w:hanging="2"/>
      </w:pPr>
      <w:proofErr w:type="spellStart"/>
      <w:r w:rsidRPr="00F844EB">
        <w:rPr>
          <w:i/>
        </w:rPr>
        <w:t>Bacillus</w:t>
      </w:r>
      <w:proofErr w:type="spellEnd"/>
      <w:r>
        <w:t xml:space="preserve"> </w:t>
      </w:r>
      <w:proofErr w:type="spellStart"/>
      <w:r w:rsidRPr="00F844EB">
        <w:rPr>
          <w:i/>
        </w:rPr>
        <w:t>subtilis</w:t>
      </w:r>
      <w:proofErr w:type="spellEnd"/>
      <w:r w:rsidRPr="00F844EB">
        <w:rPr>
          <w:i/>
        </w:rP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 w:rsidRPr="00F844EB">
        <w:rPr>
          <w:i/>
        </w:rPr>
        <w:t>subtilis</w:t>
      </w:r>
      <w:proofErr w:type="spellEnd"/>
      <w:r>
        <w:t xml:space="preserve"> C4, </w:t>
      </w:r>
      <w:r w:rsidRPr="00D764AE">
        <w:t>sintetiza metabolitos con actividad antifúngica y antibacteriana.</w:t>
      </w:r>
      <w:r>
        <w:t xml:space="preserve"> Estos metabolitos, los cuales fueron identificados previamente </w:t>
      </w:r>
      <w:r>
        <w:rPr>
          <w:lang w:val="es-ES"/>
        </w:rPr>
        <w:t xml:space="preserve">como homólogos de </w:t>
      </w:r>
      <w:proofErr w:type="spellStart"/>
      <w:r>
        <w:rPr>
          <w:lang w:val="es-ES"/>
        </w:rPr>
        <w:t>kurstakinas</w:t>
      </w:r>
      <w:proofErr w:type="spellEnd"/>
      <w:r>
        <w:rPr>
          <w:lang w:val="es-ES"/>
        </w:rPr>
        <w:t xml:space="preserve">, </w:t>
      </w:r>
      <w:proofErr w:type="spellStart"/>
      <w:r w:rsidRPr="00D835AA">
        <w:t>surfactin</w:t>
      </w:r>
      <w:r>
        <w:t>as</w:t>
      </w:r>
      <w:proofErr w:type="spellEnd"/>
      <w:r>
        <w:t xml:space="preserve">, </w:t>
      </w:r>
      <w:proofErr w:type="spellStart"/>
      <w:r>
        <w:t>iturinas</w:t>
      </w:r>
      <w:proofErr w:type="spellEnd"/>
      <w:r>
        <w:t xml:space="preserve"> y </w:t>
      </w:r>
      <w:proofErr w:type="spellStart"/>
      <w:r>
        <w:t>fengicinas</w:t>
      </w:r>
      <w:proofErr w:type="spellEnd"/>
      <w:r>
        <w:t xml:space="preserve"> por espectrometría de masa UV-MALDI, poseen</w:t>
      </w:r>
      <w:r>
        <w:rPr>
          <w:lang w:val="es-ES"/>
        </w:rPr>
        <w:t xml:space="preserve"> buena actividad </w:t>
      </w:r>
      <w:r w:rsidRPr="00254715">
        <w:rPr>
          <w:lang w:val="es-ES"/>
        </w:rPr>
        <w:t>antibacteriana</w:t>
      </w:r>
      <w:r>
        <w:rPr>
          <w:lang w:val="es-ES"/>
        </w:rPr>
        <w:t xml:space="preserve"> frente a cepas patógenas </w:t>
      </w:r>
      <w:proofErr w:type="spellStart"/>
      <w:r>
        <w:rPr>
          <w:lang w:val="es-ES"/>
        </w:rPr>
        <w:t>gram</w:t>
      </w:r>
      <w:proofErr w:type="spellEnd"/>
      <w:r>
        <w:rPr>
          <w:lang w:val="es-ES"/>
        </w:rPr>
        <w:t>-negativas</w:t>
      </w:r>
      <w:r w:rsidRPr="00254715">
        <w:rPr>
          <w:lang w:val="es-ES"/>
        </w:rPr>
        <w:t xml:space="preserve">. </w:t>
      </w:r>
      <w:r w:rsidRPr="00857830">
        <w:rPr>
          <w:lang w:val="es-ES"/>
        </w:rPr>
        <w:t xml:space="preserve">En este trabajo, se decidió </w:t>
      </w:r>
      <w:proofErr w:type="spellStart"/>
      <w:r>
        <w:rPr>
          <w:lang w:val="es-ES"/>
        </w:rPr>
        <w:t>dete</w:t>
      </w:r>
      <w:r>
        <w:rPr>
          <w:bCs/>
        </w:rPr>
        <w:t>rminar</w:t>
      </w:r>
      <w:proofErr w:type="spellEnd"/>
      <w:r>
        <w:rPr>
          <w:bCs/>
        </w:rPr>
        <w:t xml:space="preserve"> si estos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causan posibles efectos tóxicos potenciales en ratones BALB/c adultos inmunocompetentes. Los grupos tratados recibieron una dieta balanceada convencional </w:t>
      </w:r>
      <w:r w:rsidRPr="00267EB6">
        <w:rPr>
          <w:bCs/>
          <w:i/>
        </w:rPr>
        <w:t>ad libitum</w:t>
      </w:r>
      <w:r>
        <w:rPr>
          <w:bCs/>
        </w:rPr>
        <w:t xml:space="preserve"> y se evaluaron los siguientes agentes antimicrobianos producidos por C4; sobrenadante libre de células (SLC), fracciones de </w:t>
      </w:r>
      <w:proofErr w:type="spellStart"/>
      <w:r>
        <w:rPr>
          <w:bCs/>
        </w:rPr>
        <w:t>lipopéptidos</w:t>
      </w:r>
      <w:proofErr w:type="spellEnd"/>
      <w:r>
        <w:rPr>
          <w:bCs/>
        </w:rPr>
        <w:t xml:space="preserve"> purificados (FL) a dos concentraciones distintas de 10 y 20 mg/</w:t>
      </w:r>
      <w:proofErr w:type="spellStart"/>
      <w:r>
        <w:rPr>
          <w:bCs/>
        </w:rPr>
        <w:t>mL</w:t>
      </w:r>
      <w:proofErr w:type="spellEnd"/>
      <w:r>
        <w:rPr>
          <w:bCs/>
        </w:rPr>
        <w:t xml:space="preserve"> usando como control negativo caldo estéril Luria </w:t>
      </w:r>
      <w:proofErr w:type="spellStart"/>
      <w:r>
        <w:rPr>
          <w:bCs/>
        </w:rPr>
        <w:t>Bertani</w:t>
      </w:r>
      <w:proofErr w:type="spellEnd"/>
      <w:r>
        <w:rPr>
          <w:bCs/>
        </w:rPr>
        <w:t xml:space="preserve"> (LB). Se establecieron los siguientes grupos (CM, SLC, FL10 y FL20) respectivamente </w:t>
      </w:r>
      <w:r w:rsidRPr="00857830">
        <w:rPr>
          <w:bCs/>
        </w:rPr>
        <w:t>y se trabajó con la autorización del comité de ética</w:t>
      </w:r>
      <w:r>
        <w:rPr>
          <w:bCs/>
        </w:rPr>
        <w:t xml:space="preserve"> de CERELA-CONICET</w:t>
      </w:r>
      <w:r w:rsidRPr="00857830">
        <w:rPr>
          <w:bCs/>
        </w:rPr>
        <w:t xml:space="preserve">. </w:t>
      </w:r>
      <w:r>
        <w:rPr>
          <w:bCs/>
        </w:rPr>
        <w:t xml:space="preserve">Durante 5 días consecutivos se administró por vía oral 200 µL de la muestra control y de los tratamientos. Al sexto día los animales se sacrificaron y se realizaron pruebas generales, como la determinación del peso corporal, recuento de bacterias en hígado, bazo y sangre; hematocrito, proteínas en suero y se midió la concentración de enzimas séricas (GOT, GPT y LDH), las cuales son indicadoras de daño hepático y celular. También se realizaron pruebas inmunológicas: recuento total y diferencial de leucocitos en sangre; actividad de macrófagos alveolares y peritoneales; concentraciones de inmunoglobulinas en suero e intestino; niveles de factor de necrosis tumoral (TNF) e </w:t>
      </w:r>
      <w:proofErr w:type="spellStart"/>
      <w:r>
        <w:rPr>
          <w:bCs/>
        </w:rPr>
        <w:t>interleuquina</w:t>
      </w:r>
      <w:proofErr w:type="spellEnd"/>
      <w:r>
        <w:rPr>
          <w:bCs/>
        </w:rPr>
        <w:t xml:space="preserve"> 10 (IL-10) en fluido intestinal, bronquial y suero. El análisis estadístico de datos se realizó, usando la prueba de Kruskal Wallis y se pudo establecer en las pruebas generales, que la diferencia de pesos de los ratones entre los distintos tratamientos no fue estadísticamente significativa (p&gt;0,05). Tampoco se observaron diferencias entre los grupos al analizar LDH en suero, fluido bronquial e intestinal y GOT en suero.</w:t>
      </w:r>
      <w:r w:rsidRPr="005444F2">
        <w:rPr>
          <w:bCs/>
          <w:color w:val="00B0F0"/>
        </w:rPr>
        <w:t xml:space="preserve"> </w:t>
      </w:r>
      <w:r w:rsidRPr="005F79E1">
        <w:rPr>
          <w:bCs/>
        </w:rPr>
        <w:t xml:space="preserve">Se observó que sí existió </w:t>
      </w:r>
      <w:r>
        <w:rPr>
          <w:bCs/>
        </w:rPr>
        <w:t xml:space="preserve">diferencia estadística </w:t>
      </w:r>
      <w:r>
        <w:rPr>
          <w:bCs/>
        </w:rPr>
        <w:lastRenderedPageBreak/>
        <w:t xml:space="preserve">significativa para la enzima GPT en suero </w:t>
      </w:r>
      <w:r w:rsidRPr="005F79E1">
        <w:rPr>
          <w:bCs/>
        </w:rPr>
        <w:t xml:space="preserve">solamente con </w:t>
      </w:r>
      <w:r>
        <w:rPr>
          <w:bCs/>
        </w:rPr>
        <w:t>la mayor concentración analizada FL20, respecto del control de medio CM. En el caso de las pruebas inmunológicas, para leucocitos y neutrófilos en sangre se encontraron diferencias entre los tratamientos SLC y FL10, pero no con respecto al control de medio CM. También se observaron leves incrementos en la fagocitosis de los macrófagos peritoneales y los niveles de TNF en fluido bronquial y suero entre el CM y SLC comparados con la FL20.</w:t>
      </w:r>
      <w:r w:rsidR="007427F2">
        <w:rPr>
          <w:bCs/>
        </w:rPr>
        <w:t xml:space="preserve"> </w:t>
      </w:r>
      <w:r w:rsidRPr="004078D0">
        <w:t>Estos result</w:t>
      </w:r>
      <w:r>
        <w:t xml:space="preserve">ados indican que los </w:t>
      </w:r>
      <w:proofErr w:type="spellStart"/>
      <w:r>
        <w:t>lipopéptidos</w:t>
      </w:r>
      <w:proofErr w:type="spellEnd"/>
      <w:r>
        <w:t xml:space="preserve"> presentes en el SLC y FL de 10 mg/</w:t>
      </w:r>
      <w:proofErr w:type="spellStart"/>
      <w:r>
        <w:t>mL</w:t>
      </w:r>
      <w:proofErr w:type="spellEnd"/>
      <w:r w:rsidRPr="004078D0">
        <w:t xml:space="preserve"> de </w:t>
      </w:r>
      <w:r w:rsidRPr="00171630">
        <w:rPr>
          <w:i/>
        </w:rPr>
        <w:t xml:space="preserve">B. </w:t>
      </w:r>
      <w:proofErr w:type="spellStart"/>
      <w:r w:rsidRPr="00171630">
        <w:rPr>
          <w:i/>
        </w:rPr>
        <w:t>subtilis</w:t>
      </w:r>
      <w:proofErr w:type="spellEnd"/>
      <w:r w:rsidRPr="004078D0">
        <w:t xml:space="preserve"> </w:t>
      </w:r>
      <w:proofErr w:type="spellStart"/>
      <w:r w:rsidRPr="004078D0">
        <w:t>subsp</w:t>
      </w:r>
      <w:proofErr w:type="spellEnd"/>
      <w:r w:rsidRPr="004078D0">
        <w:t xml:space="preserve">. </w:t>
      </w:r>
      <w:proofErr w:type="spellStart"/>
      <w:r w:rsidRPr="00171630">
        <w:rPr>
          <w:i/>
        </w:rPr>
        <w:t>subtilis</w:t>
      </w:r>
      <w:proofErr w:type="spellEnd"/>
      <w:r>
        <w:t xml:space="preserve"> C4, no producirían efecto </w:t>
      </w:r>
      <w:r w:rsidRPr="004078D0">
        <w:t>tóxico</w:t>
      </w:r>
      <w:r>
        <w:t xml:space="preserve"> </w:t>
      </w:r>
      <w:r w:rsidRPr="009B3867">
        <w:rPr>
          <w:i/>
        </w:rPr>
        <w:t>in vivo</w:t>
      </w:r>
      <w:r>
        <w:t>, a diferencia de la FL de 20 mg/</w:t>
      </w:r>
      <w:proofErr w:type="spellStart"/>
      <w:r>
        <w:t>mL</w:t>
      </w:r>
      <w:proofErr w:type="spellEnd"/>
      <w:r>
        <w:t>, la cual podría inducir una leve respuesta inflamatoria causando daño hepático y tisular.</w:t>
      </w:r>
    </w:p>
    <w:p w14:paraId="147E63FA" w14:textId="77777777" w:rsidR="00E660CF" w:rsidRDefault="00E660CF" w:rsidP="00E660CF">
      <w:pPr>
        <w:spacing w:after="0"/>
        <w:ind w:left="0" w:hanging="2"/>
        <w:rPr>
          <w:bCs/>
        </w:rPr>
      </w:pPr>
    </w:p>
    <w:p w14:paraId="4FCE3AFF" w14:textId="4565DF5D" w:rsidR="00E660CF" w:rsidRDefault="00E660CF" w:rsidP="00E660CF">
      <w:pPr>
        <w:spacing w:after="0"/>
        <w:ind w:left="0" w:hanging="2"/>
        <w:rPr>
          <w:bCs/>
        </w:rPr>
      </w:pPr>
      <w:r>
        <w:t>Palabras Clave:</w:t>
      </w:r>
      <w:r w:rsidR="000F5DD7">
        <w:t xml:space="preserve"> </w:t>
      </w:r>
      <w:proofErr w:type="spellStart"/>
      <w:r w:rsidR="000F5DD7">
        <w:t>surfactinas</w:t>
      </w:r>
      <w:proofErr w:type="spellEnd"/>
      <w:r w:rsidR="000F5DD7">
        <w:t xml:space="preserve">, </w:t>
      </w:r>
      <w:proofErr w:type="spellStart"/>
      <w:r w:rsidR="000F5DD7">
        <w:t>fengicinas</w:t>
      </w:r>
      <w:proofErr w:type="spellEnd"/>
      <w:r w:rsidR="000F5DD7">
        <w:t>,</w:t>
      </w:r>
      <w:r>
        <w:t xml:space="preserve"> </w:t>
      </w:r>
      <w:r w:rsidR="00EC126D" w:rsidRPr="00EC126D">
        <w:t>ratones BALB/c,</w:t>
      </w:r>
      <w:r w:rsidR="006A6FED">
        <w:t xml:space="preserve"> enzimas GPT-GOT</w:t>
      </w:r>
      <w:bookmarkStart w:id="0" w:name="_GoBack"/>
      <w:bookmarkEnd w:id="0"/>
    </w:p>
    <w:sectPr w:rsidR="00E660C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ADB34" w14:textId="77777777" w:rsidR="00A92A27" w:rsidRDefault="00A92A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E715F5" w14:textId="77777777" w:rsidR="00A92A27" w:rsidRDefault="00A92A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A2A8" w14:textId="77777777" w:rsidR="00A92A27" w:rsidRDefault="00A92A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BE9A9E" w14:textId="77777777" w:rsidR="00A92A27" w:rsidRDefault="00A92A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C378" w14:textId="77777777" w:rsidR="00512773" w:rsidRDefault="00E83AE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353CA2" wp14:editId="5063FB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73"/>
    <w:rsid w:val="000472C1"/>
    <w:rsid w:val="000C5B8F"/>
    <w:rsid w:val="000F5DD7"/>
    <w:rsid w:val="001848DA"/>
    <w:rsid w:val="00194406"/>
    <w:rsid w:val="001B5A06"/>
    <w:rsid w:val="002069A9"/>
    <w:rsid w:val="0029038E"/>
    <w:rsid w:val="00316E00"/>
    <w:rsid w:val="00512773"/>
    <w:rsid w:val="00554F0C"/>
    <w:rsid w:val="0058749C"/>
    <w:rsid w:val="006A6FED"/>
    <w:rsid w:val="00716D2C"/>
    <w:rsid w:val="007427F2"/>
    <w:rsid w:val="008B2E98"/>
    <w:rsid w:val="00A92A27"/>
    <w:rsid w:val="00B80F2C"/>
    <w:rsid w:val="00D26648"/>
    <w:rsid w:val="00E660CF"/>
    <w:rsid w:val="00E83AEA"/>
    <w:rsid w:val="00EC126D"/>
    <w:rsid w:val="00F13229"/>
    <w:rsid w:val="00F32968"/>
    <w:rsid w:val="00F5785E"/>
    <w:rsid w:val="00F668C3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5BB9"/>
  <w15:docId w15:val="{3600C772-BCBA-487A-9EB6-EC85B6CF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Audisio</cp:lastModifiedBy>
  <cp:revision>2</cp:revision>
  <dcterms:created xsi:type="dcterms:W3CDTF">2022-08-18T11:54:00Z</dcterms:created>
  <dcterms:modified xsi:type="dcterms:W3CDTF">2022-08-18T11:54:00Z</dcterms:modified>
</cp:coreProperties>
</file>