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47A" w14:textId="28F19E0F" w:rsidR="00B6001A" w:rsidRDefault="00000000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2004A22">
          <v:group id="_x0000_s1038" style="width:428.35pt;height:51.75pt;mso-position-horizontal-relative:char;mso-position-vertical-relative:line" coordsize="8567,1035">
            <v:rect id="_x0000_s1041" style="position:absolute;top:662;width:8567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9;width:1065;height:103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width:8567;height:1035" filled="f" stroked="f">
              <v:textbox inset="0,0,0,0">
                <w:txbxContent>
                  <w:p w14:paraId="5DF1EFE8" w14:textId="77777777" w:rsidR="00B6001A" w:rsidRDefault="00B6001A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58D8CFF" w14:textId="77777777" w:rsidR="00B6001A" w:rsidRDefault="00B6001A">
                    <w:pPr>
                      <w:spacing w:before="8"/>
                      <w:rPr>
                        <w:rFonts w:ascii="Times New Roman"/>
                        <w:sz w:val="17"/>
                      </w:rPr>
                    </w:pPr>
                  </w:p>
                  <w:p w14:paraId="4266D3D3" w14:textId="77777777" w:rsidR="00B6001A" w:rsidRDefault="00000000">
                    <w:pPr>
                      <w:ind w:left="150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VIII Congreso Internacional de Ciencia y Tecnología de Alimentos (CICYTAC 2022)</w:t>
                    </w:r>
                  </w:p>
                </w:txbxContent>
              </v:textbox>
            </v:shape>
            <w10:anchorlock/>
          </v:group>
        </w:pict>
      </w:r>
    </w:p>
    <w:p w14:paraId="45A435C7" w14:textId="77777777" w:rsidR="00B6001A" w:rsidRDefault="00000000">
      <w:pPr>
        <w:pStyle w:val="Ttulo"/>
      </w:pPr>
      <w:r>
        <w:t>Estudio de la diversidad fúngica de frutas finas de Tucumán</w:t>
      </w:r>
    </w:p>
    <w:p w14:paraId="47AFFE11" w14:textId="77777777" w:rsidR="00B6001A" w:rsidRDefault="00B6001A">
      <w:pPr>
        <w:pStyle w:val="Textoindependiente"/>
        <w:spacing w:before="9"/>
        <w:rPr>
          <w:b/>
          <w:sz w:val="23"/>
        </w:rPr>
      </w:pPr>
    </w:p>
    <w:p w14:paraId="45B2A5CC" w14:textId="77777777" w:rsidR="00B6001A" w:rsidRPr="00D571D1" w:rsidRDefault="00000000">
      <w:pPr>
        <w:pStyle w:val="Textoindependiente"/>
        <w:ind w:left="788" w:right="785"/>
        <w:jc w:val="center"/>
        <w:rPr>
          <w:lang w:val="en-US"/>
        </w:rPr>
      </w:pPr>
      <w:proofErr w:type="spellStart"/>
      <w:r w:rsidRPr="00D571D1">
        <w:rPr>
          <w:lang w:val="en-US"/>
        </w:rPr>
        <w:t>Gerez</w:t>
      </w:r>
      <w:proofErr w:type="spellEnd"/>
      <w:r w:rsidRPr="00D571D1">
        <w:rPr>
          <w:lang w:val="en-US"/>
        </w:rPr>
        <w:t xml:space="preserve"> CL (1), </w:t>
      </w:r>
      <w:proofErr w:type="spellStart"/>
      <w:r w:rsidRPr="00D571D1">
        <w:rPr>
          <w:lang w:val="en-US"/>
        </w:rPr>
        <w:t>Bentencourt</w:t>
      </w:r>
      <w:proofErr w:type="spellEnd"/>
      <w:r w:rsidRPr="00D571D1">
        <w:rPr>
          <w:lang w:val="en-US"/>
        </w:rPr>
        <w:t xml:space="preserve"> EV (1), Salazar SM (2), Mendoza LM (1)</w:t>
      </w:r>
    </w:p>
    <w:p w14:paraId="718F51DB" w14:textId="77777777" w:rsidR="00B6001A" w:rsidRPr="00D571D1" w:rsidRDefault="00B6001A">
      <w:pPr>
        <w:pStyle w:val="Textoindependiente"/>
        <w:spacing w:before="5"/>
        <w:rPr>
          <w:lang w:val="en-US"/>
        </w:rPr>
      </w:pPr>
    </w:p>
    <w:p w14:paraId="22443B17" w14:textId="32FD9101" w:rsidR="00B6001A" w:rsidRDefault="00000000">
      <w:pPr>
        <w:pStyle w:val="Prrafodelista"/>
        <w:numPr>
          <w:ilvl w:val="0"/>
          <w:numId w:val="1"/>
        </w:numPr>
        <w:tabs>
          <w:tab w:val="left" w:pos="500"/>
        </w:tabs>
        <w:spacing w:line="242" w:lineRule="auto"/>
        <w:ind w:hanging="3"/>
        <w:rPr>
          <w:sz w:val="24"/>
        </w:rPr>
      </w:pPr>
      <w:commentRangeStart w:id="0"/>
      <w:r>
        <w:rPr>
          <w:sz w:val="24"/>
        </w:rPr>
        <w:t>Centro de Referencia para Lactobacilos (CERELA-CONICET), Chacabuco 145, San Miguel de Tucumán, Tucumán,</w:t>
      </w:r>
      <w:r>
        <w:rPr>
          <w:spacing w:val="-4"/>
          <w:sz w:val="24"/>
        </w:rPr>
        <w:t xml:space="preserve"> </w:t>
      </w:r>
      <w:r>
        <w:rPr>
          <w:sz w:val="24"/>
        </w:rPr>
        <w:t>Argentina.</w:t>
      </w:r>
    </w:p>
    <w:p w14:paraId="2E9BB700" w14:textId="77777777" w:rsidR="00B6001A" w:rsidRDefault="00000000">
      <w:pPr>
        <w:pStyle w:val="Prrafodelista"/>
        <w:numPr>
          <w:ilvl w:val="0"/>
          <w:numId w:val="1"/>
        </w:numPr>
        <w:tabs>
          <w:tab w:val="left" w:pos="500"/>
        </w:tabs>
        <w:spacing w:before="117" w:line="242" w:lineRule="auto"/>
        <w:ind w:right="1122" w:hanging="3"/>
        <w:rPr>
          <w:sz w:val="24"/>
        </w:rPr>
      </w:pPr>
      <w:r>
        <w:rPr>
          <w:sz w:val="24"/>
        </w:rPr>
        <w:t>Estación Experimental Agropecuaria Famaillá, Instituto Nacional de Tecnología Agropecuaria (INTA), Famaillá, Tucumán,</w:t>
      </w:r>
      <w:r>
        <w:rPr>
          <w:spacing w:val="-8"/>
          <w:sz w:val="24"/>
        </w:rPr>
        <w:t xml:space="preserve"> </w:t>
      </w:r>
      <w:r>
        <w:rPr>
          <w:sz w:val="24"/>
        </w:rPr>
        <w:t>Argentina.</w:t>
      </w:r>
      <w:commentRangeEnd w:id="0"/>
      <w:r w:rsidR="00D571D1">
        <w:rPr>
          <w:rStyle w:val="Refdecomentario"/>
        </w:rPr>
        <w:commentReference w:id="0"/>
      </w:r>
    </w:p>
    <w:p w14:paraId="26C84614" w14:textId="17516177" w:rsidR="00B6001A" w:rsidRDefault="00D571D1">
      <w:pPr>
        <w:pStyle w:val="Textoindependiente"/>
        <w:spacing w:before="199" w:line="484" w:lineRule="auto"/>
        <w:ind w:left="139" w:right="3145"/>
      </w:pPr>
      <w:hyperlink r:id="rId12" w:history="1">
        <w:r w:rsidRPr="003372A1">
          <w:rPr>
            <w:rStyle w:val="Hipervnculo"/>
          </w:rPr>
          <w:t>emilsebentencourt@gmail.com</w:t>
        </w:r>
      </w:hyperlink>
      <w:r w:rsidR="00000000">
        <w:t xml:space="preserve"> </w:t>
      </w:r>
    </w:p>
    <w:p w14:paraId="7ABA720D" w14:textId="7EB96874" w:rsidR="00AE72EB" w:rsidRDefault="00000000" w:rsidP="00AE72EB">
      <w:pPr>
        <w:pStyle w:val="Textoindependiente"/>
        <w:spacing w:line="242" w:lineRule="auto"/>
        <w:ind w:left="142" w:right="132" w:hanging="3"/>
        <w:jc w:val="both"/>
      </w:pPr>
      <w:r>
        <w:t xml:space="preserve">Las frutas finas o </w:t>
      </w:r>
      <w:proofErr w:type="spellStart"/>
      <w:r>
        <w:rPr>
          <w:i/>
        </w:rPr>
        <w:t>berries</w:t>
      </w:r>
      <w:proofErr w:type="spellEnd"/>
      <w:r>
        <w:rPr>
          <w:i/>
        </w:rPr>
        <w:t xml:space="preserve"> </w:t>
      </w:r>
      <w:r>
        <w:t xml:space="preserve">son cultivos de alto valor económico. En el NOA </w:t>
      </w:r>
      <w:r>
        <w:rPr>
          <w:strike/>
        </w:rPr>
        <w:t>de</w:t>
      </w:r>
      <w:r>
        <w:t xml:space="preserve"> </w:t>
      </w:r>
      <w:r>
        <w:rPr>
          <w:strike/>
        </w:rPr>
        <w:t>Argentina</w:t>
      </w:r>
      <w:r>
        <w:t xml:space="preserve"> representan un sector agrícola en expansión, siendo Tucumán la provincia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exportadora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i/>
        </w:rPr>
        <w:t>berries</w:t>
      </w:r>
      <w:proofErr w:type="spellEnd"/>
      <w:r>
        <w:t>.</w:t>
      </w:r>
      <w:r>
        <w:rPr>
          <w:spacing w:val="-12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frutas finas requieren un estricto cuidado sanitario ya que son altamente susceptible a fitopatógenos, principalmente de origen fúngico. Los fitopatógenos en fruta se controlan</w:t>
      </w:r>
      <w:r>
        <w:rPr>
          <w:spacing w:val="-11"/>
        </w:rPr>
        <w:t xml:space="preserve"> </w:t>
      </w:r>
      <w:r>
        <w:t>mayormente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pesticidas</w:t>
      </w:r>
      <w:r>
        <w:rPr>
          <w:spacing w:val="-11"/>
        </w:rPr>
        <w:t xml:space="preserve"> </w:t>
      </w:r>
      <w:r>
        <w:t>químicos,</w:t>
      </w:r>
      <w:r>
        <w:rPr>
          <w:spacing w:val="-10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siendo</w:t>
      </w:r>
      <w:r>
        <w:rPr>
          <w:spacing w:val="-7"/>
        </w:rPr>
        <w:t xml:space="preserve"> </w:t>
      </w:r>
      <w:r>
        <w:t>restringido por sus efectos negativos sobre el medio ambiente, la salud y el desarrollo de resistencia. Estas restricciones han impulsado no solo a la búsqueda de nuevas alternativas de control, sino también a conocer la diversidad fúngica especifica de zonas de producción a fin plantear estrategias de control regional. En base a lo expuesto, el objetivo de este trabajo fue estudiar la diversidad fúngica en frutillas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arándanos</w:t>
      </w:r>
      <w:r>
        <w:rPr>
          <w:spacing w:val="-8"/>
        </w:rPr>
        <w:t xml:space="preserve"> </w:t>
      </w:r>
      <w:r>
        <w:t>cultivados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Tucumán.</w:t>
      </w:r>
      <w:r>
        <w:rPr>
          <w:spacing w:val="-8"/>
        </w:rPr>
        <w:t xml:space="preserve"> </w:t>
      </w:r>
      <w:r>
        <w:t>Muestras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frutillas (variedad San Andrea y Monterrey) y arándanos (variedad San Joaquín y </w:t>
      </w:r>
      <w:proofErr w:type="spellStart"/>
      <w:r>
        <w:t>Emerald</w:t>
      </w:r>
      <w:proofErr w:type="spellEnd"/>
      <w:r>
        <w:t>)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cosecharon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asépticas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almacenaron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proofErr w:type="spellStart"/>
      <w:r>
        <w:t>ºC</w:t>
      </w:r>
      <w:proofErr w:type="spellEnd"/>
      <w:r>
        <w:t>.</w:t>
      </w:r>
      <w:r>
        <w:rPr>
          <w:spacing w:val="-9"/>
        </w:rPr>
        <w:t xml:space="preserve"> </w:t>
      </w:r>
      <w:r>
        <w:t xml:space="preserve">La fruta fue homogenizada en un </w:t>
      </w:r>
      <w:proofErr w:type="spellStart"/>
      <w:r>
        <w:t>stomacher</w:t>
      </w:r>
      <w:proofErr w:type="spellEnd"/>
      <w:r>
        <w:t xml:space="preserve"> bajo condiciones de esterilidad. Diferentes diluciones de las muestras se sembraron en medio YPD agar con cloranfenicol (100 mg/L) y las placas se incubaron a 30ºC durante 2 a 5 días. A partir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placas</w:t>
      </w:r>
      <w:r>
        <w:rPr>
          <w:spacing w:val="-13"/>
        </w:rPr>
        <w:t xml:space="preserve"> </w:t>
      </w:r>
      <w:r>
        <w:t>cultivadas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aislaron</w:t>
      </w:r>
      <w:r>
        <w:rPr>
          <w:spacing w:val="-12"/>
        </w:rPr>
        <w:t xml:space="preserve"> </w:t>
      </w:r>
      <w:r>
        <w:t>colonias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diferentes</w:t>
      </w:r>
      <w:r>
        <w:rPr>
          <w:spacing w:val="-13"/>
        </w:rPr>
        <w:t xml:space="preserve"> </w:t>
      </w:r>
      <w:r>
        <w:t>morfologías.</w:t>
      </w:r>
      <w:r>
        <w:rPr>
          <w:spacing w:val="-11"/>
        </w:rPr>
        <w:t xml:space="preserve"> </w:t>
      </w:r>
      <w:r>
        <w:t xml:space="preserve">La identificación de los aislamientos se realizó usando la técnica ITS-RFLP y posterior secuenciación de una región del gen 26S. A partir de las muestras de fruta se aislaron e identificaron un total de 50 levaduras y 10 hongos filamentosos. En las muestras de frutillas de ambas variedades predominaron levaduras de las especies </w:t>
      </w:r>
      <w:proofErr w:type="spellStart"/>
      <w:r>
        <w:rPr>
          <w:i/>
        </w:rPr>
        <w:t>Metschnikowia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rancensis</w:t>
      </w:r>
      <w:proofErr w:type="spellEnd"/>
      <w:r>
        <w:rPr>
          <w:i/>
        </w:rPr>
        <w:t xml:space="preserve"> </w:t>
      </w:r>
      <w:r>
        <w:t xml:space="preserve">y </w:t>
      </w:r>
      <w:proofErr w:type="spellStart"/>
      <w:r>
        <w:rPr>
          <w:i/>
        </w:rPr>
        <w:t>Papiliotrema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flavescens</w:t>
      </w:r>
      <w:proofErr w:type="spellEnd"/>
      <w:r>
        <w:t xml:space="preserve">. Otras especies encontradas fueron </w:t>
      </w:r>
      <w:proofErr w:type="spellStart"/>
      <w:r>
        <w:rPr>
          <w:i/>
        </w:rPr>
        <w:t>Filobasidium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magnus</w:t>
      </w:r>
      <w:proofErr w:type="spellEnd"/>
      <w:r>
        <w:t xml:space="preserve">, </w:t>
      </w:r>
      <w:proofErr w:type="spellStart"/>
      <w:r>
        <w:rPr>
          <w:i/>
        </w:rPr>
        <w:t>Rhodotorula</w:t>
      </w:r>
      <w:proofErr w:type="spellEnd"/>
      <w:r>
        <w:rPr>
          <w:i/>
        </w:rPr>
        <w:t xml:space="preserve"> </w:t>
      </w:r>
      <w:r>
        <w:t>(</w:t>
      </w:r>
      <w:r>
        <w:rPr>
          <w:i/>
        </w:rPr>
        <w:t>R.</w:t>
      </w:r>
      <w:r>
        <w:t xml:space="preserve">) </w:t>
      </w:r>
      <w:proofErr w:type="spellStart"/>
      <w:r>
        <w:rPr>
          <w:i/>
        </w:rPr>
        <w:t>toruloides</w:t>
      </w:r>
      <w:proofErr w:type="spellEnd"/>
      <w:r>
        <w:t xml:space="preserve">, </w:t>
      </w:r>
      <w:commentRangeStart w:id="1"/>
      <w:r>
        <w:rPr>
          <w:i/>
        </w:rPr>
        <w:t xml:space="preserve">R. </w:t>
      </w:r>
      <w:proofErr w:type="spellStart"/>
      <w:r>
        <w:rPr>
          <w:i/>
        </w:rPr>
        <w:t>glutinis</w:t>
      </w:r>
      <w:proofErr w:type="spellEnd"/>
      <w:r>
        <w:rPr>
          <w:i/>
        </w:rPr>
        <w:t xml:space="preserve"> </w:t>
      </w:r>
      <w:commentRangeEnd w:id="1"/>
      <w:r w:rsidR="00D571D1">
        <w:rPr>
          <w:rStyle w:val="Refdecomentario"/>
        </w:rPr>
        <w:commentReference w:id="1"/>
      </w:r>
      <w:r>
        <w:t xml:space="preserve">y </w:t>
      </w:r>
      <w:proofErr w:type="spellStart"/>
      <w:r>
        <w:rPr>
          <w:i/>
        </w:rPr>
        <w:t>Meyerozyma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guilliermondii</w:t>
      </w:r>
      <w:proofErr w:type="spellEnd"/>
      <w:r>
        <w:t>. Además, se identificaron diferentes especies de hongos en ambas variedades de frutilla (</w:t>
      </w:r>
      <w:proofErr w:type="spellStart"/>
      <w:r>
        <w:rPr>
          <w:i/>
        </w:rPr>
        <w:t>Penicillium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expansum</w:t>
      </w:r>
      <w:proofErr w:type="spellEnd"/>
      <w:r>
        <w:t xml:space="preserve">, </w:t>
      </w:r>
      <w:r>
        <w:rPr>
          <w:i/>
        </w:rPr>
        <w:t xml:space="preserve">Alternaria </w:t>
      </w:r>
      <w:proofErr w:type="spellStart"/>
      <w:r>
        <w:rPr>
          <w:i/>
        </w:rPr>
        <w:t>alternata</w:t>
      </w:r>
      <w:proofErr w:type="spellEnd"/>
      <w:r>
        <w:t xml:space="preserve">, </w:t>
      </w:r>
      <w:proofErr w:type="spellStart"/>
      <w:r>
        <w:rPr>
          <w:i/>
        </w:rPr>
        <w:t>Mucor</w:t>
      </w:r>
      <w:proofErr w:type="spellEnd"/>
      <w:r>
        <w:rPr>
          <w:i/>
        </w:rPr>
        <w:t xml:space="preserve"> </w:t>
      </w:r>
      <w:proofErr w:type="spellStart"/>
      <w:r>
        <w:t>sp</w:t>
      </w:r>
      <w:proofErr w:type="spellEnd"/>
      <w:r>
        <w:t xml:space="preserve">., </w:t>
      </w:r>
      <w:proofErr w:type="spellStart"/>
      <w:r>
        <w:rPr>
          <w:i/>
        </w:rPr>
        <w:t>Curvularia</w:t>
      </w:r>
      <w:proofErr w:type="spellEnd"/>
      <w:r>
        <w:rPr>
          <w:i/>
        </w:rPr>
        <w:t xml:space="preserve"> americana </w:t>
      </w:r>
      <w:r>
        <w:t xml:space="preserve">y </w:t>
      </w:r>
      <w:r>
        <w:rPr>
          <w:i/>
        </w:rPr>
        <w:t xml:space="preserve">Aspergillus </w:t>
      </w:r>
      <w:proofErr w:type="spellStart"/>
      <w:r>
        <w:rPr>
          <w:i/>
        </w:rPr>
        <w:t>krugeri</w:t>
      </w:r>
      <w:proofErr w:type="spellEnd"/>
      <w:r>
        <w:t xml:space="preserve">). En ambas variedades de arándanos predomino la especie </w:t>
      </w:r>
      <w:proofErr w:type="spellStart"/>
      <w:r>
        <w:rPr>
          <w:i/>
        </w:rPr>
        <w:t>Aerobasidium</w:t>
      </w:r>
      <w:proofErr w:type="spellEnd"/>
      <w:r>
        <w:rPr>
          <w:i/>
          <w:spacing w:val="-16"/>
        </w:rPr>
        <w:t xml:space="preserve"> </w:t>
      </w:r>
      <w:proofErr w:type="spellStart"/>
      <w:r>
        <w:rPr>
          <w:i/>
        </w:rPr>
        <w:t>pullulans</w:t>
      </w:r>
      <w:proofErr w:type="spellEnd"/>
      <w:r>
        <w:t>.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variedad</w:t>
      </w:r>
      <w:r>
        <w:rPr>
          <w:spacing w:val="-16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Joaquín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identificaron</w:t>
      </w:r>
      <w:r>
        <w:rPr>
          <w:spacing w:val="-18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 xml:space="preserve">especies </w:t>
      </w:r>
      <w:proofErr w:type="spellStart"/>
      <w:r>
        <w:rPr>
          <w:i/>
        </w:rPr>
        <w:t>Pseudozyma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jejuensis</w:t>
      </w:r>
      <w:proofErr w:type="spellEnd"/>
      <w:r>
        <w:t xml:space="preserve">, </w:t>
      </w:r>
      <w:r>
        <w:rPr>
          <w:i/>
        </w:rPr>
        <w:t xml:space="preserve">P. </w:t>
      </w:r>
      <w:proofErr w:type="spellStart"/>
      <w:r>
        <w:rPr>
          <w:i/>
        </w:rPr>
        <w:t>tsukubaensis</w:t>
      </w:r>
      <w:proofErr w:type="spellEnd"/>
      <w:r>
        <w:rPr>
          <w:i/>
        </w:rPr>
        <w:t xml:space="preserve"> </w:t>
      </w:r>
      <w:r>
        <w:t xml:space="preserve">y </w:t>
      </w:r>
      <w:proofErr w:type="spellStart"/>
      <w:r>
        <w:rPr>
          <w:i/>
        </w:rPr>
        <w:t>Filobasidium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mali</w:t>
      </w:r>
      <w:proofErr w:type="spellEnd"/>
      <w:r>
        <w:rPr>
          <w:i/>
        </w:rPr>
        <w:t xml:space="preserve"> </w:t>
      </w:r>
      <w:r>
        <w:t xml:space="preserve">mientras que en la variedad </w:t>
      </w:r>
      <w:proofErr w:type="spellStart"/>
      <w:r>
        <w:t>Emerald</w:t>
      </w:r>
      <w:proofErr w:type="spellEnd"/>
      <w:r>
        <w:t xml:space="preserve"> encontramos </w:t>
      </w:r>
      <w:commentRangeStart w:id="2"/>
      <w:r>
        <w:rPr>
          <w:i/>
        </w:rPr>
        <w:t>R. mucilaginosa</w:t>
      </w:r>
      <w:r>
        <w:t xml:space="preserve">, </w:t>
      </w:r>
      <w:r>
        <w:rPr>
          <w:i/>
        </w:rPr>
        <w:t xml:space="preserve">R. </w:t>
      </w:r>
      <w:proofErr w:type="spellStart"/>
      <w:r>
        <w:rPr>
          <w:i/>
        </w:rPr>
        <w:t>diobovata</w:t>
      </w:r>
      <w:proofErr w:type="spellEnd"/>
      <w:r>
        <w:rPr>
          <w:i/>
        </w:rPr>
        <w:t xml:space="preserve"> </w:t>
      </w:r>
      <w:commentRangeEnd w:id="2"/>
      <w:r w:rsidR="00D571D1">
        <w:rPr>
          <w:rStyle w:val="Refdecomentario"/>
        </w:rPr>
        <w:commentReference w:id="2"/>
      </w:r>
      <w:r>
        <w:t xml:space="preserve">y </w:t>
      </w:r>
      <w:proofErr w:type="spellStart"/>
      <w:r>
        <w:rPr>
          <w:i/>
        </w:rPr>
        <w:t>Hanseniaspora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uvarum</w:t>
      </w:r>
      <w:proofErr w:type="spellEnd"/>
      <w:r>
        <w:t xml:space="preserve">. Los hongos identificados en este tipo de </w:t>
      </w:r>
      <w:proofErr w:type="spellStart"/>
      <w:r>
        <w:rPr>
          <w:i/>
        </w:rPr>
        <w:t>berrie</w:t>
      </w:r>
      <w:proofErr w:type="spellEnd"/>
      <w:r>
        <w:rPr>
          <w:i/>
        </w:rPr>
        <w:t xml:space="preserve"> </w:t>
      </w:r>
      <w:r>
        <w:t xml:space="preserve">fueron </w:t>
      </w:r>
      <w:proofErr w:type="spellStart"/>
      <w:r>
        <w:rPr>
          <w:i/>
        </w:rPr>
        <w:t>Pestalotiopsis</w:t>
      </w:r>
      <w:proofErr w:type="spellEnd"/>
      <w:r>
        <w:rPr>
          <w:i/>
        </w:rPr>
        <w:t xml:space="preserve"> microspora </w:t>
      </w:r>
      <w:r>
        <w:t xml:space="preserve">y </w:t>
      </w:r>
      <w:r>
        <w:rPr>
          <w:i/>
        </w:rPr>
        <w:lastRenderedPageBreak/>
        <w:t>A</w:t>
      </w:r>
      <w:r>
        <w:rPr>
          <w:i/>
          <w:strike/>
        </w:rPr>
        <w:t>lternaria</w:t>
      </w:r>
      <w:r>
        <w:rPr>
          <w:i/>
        </w:rPr>
        <w:t xml:space="preserve"> </w:t>
      </w:r>
      <w:proofErr w:type="spellStart"/>
      <w:r>
        <w:rPr>
          <w:i/>
        </w:rPr>
        <w:t>alternata</w:t>
      </w:r>
      <w:proofErr w:type="spellEnd"/>
      <w:r>
        <w:t>. En este trabajo se evidencio una amplia variedad de especies fúngicas en frutilla y arándanos regionales. Algunas de estas</w:t>
      </w:r>
      <w:r>
        <w:rPr>
          <w:spacing w:val="-9"/>
        </w:rPr>
        <w:t xml:space="preserve"> </w:t>
      </w:r>
      <w:r>
        <w:t>especies</w:t>
      </w:r>
      <w:r>
        <w:rPr>
          <w:spacing w:val="-8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fitopatógenas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asociadas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pérdidas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productividad durante el cultivo y de calidad del fruto en postcosecha. La identificación</w:t>
      </w:r>
      <w:r>
        <w:rPr>
          <w:spacing w:val="-16"/>
        </w:rPr>
        <w:t xml:space="preserve"> </w:t>
      </w:r>
      <w:r>
        <w:t>de</w:t>
      </w:r>
      <w:r w:rsidR="00AE72EB">
        <w:t xml:space="preserve"> </w:t>
      </w:r>
      <w:r w:rsidR="00AE72EB">
        <w:t>potenciales fitopatógenos prevalentes en la zona permitirá evaluar la</w:t>
      </w:r>
      <w:r w:rsidR="00AE72EB">
        <w:t xml:space="preserve"> </w:t>
      </w:r>
      <w:r w:rsidR="00AE72EB">
        <w:t>potencialidad de nuevas estrategias de control en la zona.</w:t>
      </w:r>
    </w:p>
    <w:p w14:paraId="29E91A50" w14:textId="77777777" w:rsidR="00AE72EB" w:rsidRDefault="00AE72EB" w:rsidP="00AE72EB">
      <w:pPr>
        <w:pStyle w:val="Textoindependiente"/>
        <w:spacing w:line="242" w:lineRule="auto"/>
        <w:ind w:left="142" w:right="132" w:hanging="3"/>
        <w:jc w:val="both"/>
      </w:pPr>
    </w:p>
    <w:p w14:paraId="5337A008" w14:textId="4F13F48F" w:rsidR="00AE72EB" w:rsidRDefault="00AE72EB" w:rsidP="00AE72EB">
      <w:pPr>
        <w:pStyle w:val="Textoindependiente"/>
        <w:spacing w:line="242" w:lineRule="auto"/>
        <w:ind w:left="142" w:right="132" w:hanging="3"/>
        <w:jc w:val="both"/>
      </w:pPr>
      <w:r>
        <w:t>Agradecimiento: los autores agradecen al EEA-INTA Famaillá y la finca Orgánica</w:t>
      </w:r>
      <w:r>
        <w:t xml:space="preserve"> </w:t>
      </w:r>
      <w:r>
        <w:t xml:space="preserve">Berry </w:t>
      </w:r>
      <w:proofErr w:type="spellStart"/>
      <w:r>
        <w:t>Goods</w:t>
      </w:r>
      <w:proofErr w:type="spellEnd"/>
      <w:r>
        <w:t xml:space="preserve"> por las muestras de frutillas y arándanos gentilmente cedidas para</w:t>
      </w:r>
      <w:r>
        <w:t xml:space="preserve"> </w:t>
      </w:r>
      <w:r>
        <w:t>el estudio.</w:t>
      </w:r>
    </w:p>
    <w:p w14:paraId="4B99E678" w14:textId="77777777" w:rsidR="00AE72EB" w:rsidRDefault="00AE72EB" w:rsidP="00AE72EB">
      <w:pPr>
        <w:pStyle w:val="Textoindependiente"/>
        <w:spacing w:line="242" w:lineRule="auto"/>
        <w:ind w:left="142" w:right="132" w:hanging="3"/>
        <w:jc w:val="both"/>
      </w:pPr>
    </w:p>
    <w:p w14:paraId="6C354741" w14:textId="18034061" w:rsidR="00B6001A" w:rsidRDefault="00AE72EB" w:rsidP="00AE72EB">
      <w:pPr>
        <w:pStyle w:val="Textoindependiente"/>
        <w:spacing w:line="242" w:lineRule="auto"/>
        <w:ind w:left="142" w:right="132" w:hanging="3"/>
        <w:jc w:val="both"/>
      </w:pPr>
      <w:r>
        <w:t>Palabras Clave: fitopatógenos, frutilla, arándanos, frutos regionales</w:t>
      </w:r>
    </w:p>
    <w:sectPr w:rsidR="00B6001A" w:rsidSect="00AE72EB">
      <w:headerReference w:type="default" r:id="rId13"/>
      <w:type w:val="continuous"/>
      <w:pgSz w:w="11910" w:h="1685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3T20:40:00Z" w:initials="AL">
    <w:p w14:paraId="57B791B5" w14:textId="36E1FF62" w:rsidR="00D571D1" w:rsidRDefault="00D571D1">
      <w:pPr>
        <w:pStyle w:val="Textocomentario"/>
      </w:pPr>
      <w:r>
        <w:rPr>
          <w:rStyle w:val="Refdecomentario"/>
        </w:rPr>
        <w:annotationRef/>
      </w:r>
      <w:r>
        <w:t>Completar las filiaciones de ambas direcciones</w:t>
      </w:r>
    </w:p>
  </w:comment>
  <w:comment w:id="1" w:author="Abel López" w:date="2022-08-13T20:42:00Z" w:initials="AL">
    <w:p w14:paraId="390FA219" w14:textId="3B26B1CD" w:rsidR="00D571D1" w:rsidRDefault="00D571D1">
      <w:pPr>
        <w:pStyle w:val="Textocomentario"/>
      </w:pPr>
      <w:r>
        <w:rPr>
          <w:rStyle w:val="Refdecomentario"/>
        </w:rPr>
        <w:annotationRef/>
      </w:r>
      <w:r w:rsidRPr="00D571D1">
        <w:t xml:space="preserve">R. hace referencia a </w:t>
      </w:r>
      <w:proofErr w:type="spellStart"/>
      <w:r w:rsidRPr="00D571D1">
        <w:t>Rhodotorula</w:t>
      </w:r>
      <w:proofErr w:type="spellEnd"/>
      <w:r w:rsidRPr="00D571D1">
        <w:t>? si es así agregar el nombre del género</w:t>
      </w:r>
    </w:p>
  </w:comment>
  <w:comment w:id="2" w:author="Abel López" w:date="2022-08-13T20:43:00Z" w:initials="AL">
    <w:p w14:paraId="5AEA4098" w14:textId="787DCED1" w:rsidR="00D571D1" w:rsidRDefault="00D571D1">
      <w:pPr>
        <w:pStyle w:val="Textocomentario"/>
      </w:pPr>
      <w:r>
        <w:rPr>
          <w:rStyle w:val="Refdecomentario"/>
        </w:rPr>
        <w:annotationRef/>
      </w:r>
      <w:r w:rsidRPr="00D571D1">
        <w:t xml:space="preserve">R. hace referencia a </w:t>
      </w:r>
      <w:proofErr w:type="spellStart"/>
      <w:r w:rsidRPr="00D571D1">
        <w:t>Rhodotorula</w:t>
      </w:r>
      <w:proofErr w:type="spellEnd"/>
      <w:r w:rsidRPr="00D571D1">
        <w:t>? si es así agregar el nombre del género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791B5" w15:done="0"/>
  <w15:commentEx w15:paraId="390FA219" w15:done="0"/>
  <w15:commentEx w15:paraId="5AEA40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28AAC" w16cex:dateUtc="2022-08-13T23:40:00Z"/>
  <w16cex:commentExtensible w16cex:durableId="26A28B2B" w16cex:dateUtc="2022-08-13T23:42:00Z"/>
  <w16cex:commentExtensible w16cex:durableId="26A28B70" w16cex:dateUtc="2022-08-13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791B5" w16cid:durableId="26A28AAC"/>
  <w16cid:commentId w16cid:paraId="390FA219" w16cid:durableId="26A28B2B"/>
  <w16cid:commentId w16cid:paraId="5AEA4098" w16cid:durableId="26A28B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0BA7" w14:textId="77777777" w:rsidR="00806E90" w:rsidRDefault="00806E90">
      <w:r>
        <w:separator/>
      </w:r>
    </w:p>
  </w:endnote>
  <w:endnote w:type="continuationSeparator" w:id="0">
    <w:p w14:paraId="532B3D29" w14:textId="77777777" w:rsidR="00806E90" w:rsidRDefault="008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21D" w14:textId="77777777" w:rsidR="00806E90" w:rsidRDefault="00806E90">
      <w:r>
        <w:separator/>
      </w:r>
    </w:p>
  </w:footnote>
  <w:footnote w:type="continuationSeparator" w:id="0">
    <w:p w14:paraId="0D6E9F00" w14:textId="77777777" w:rsidR="00806E90" w:rsidRDefault="008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33EC" w14:textId="77777777" w:rsidR="00B6001A" w:rsidRDefault="00000000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540224" behindDoc="1" locked="0" layoutInCell="1" allowOverlap="1" wp14:anchorId="3B1B0A46" wp14:editId="1765E0B2">
          <wp:simplePos x="0" y="0"/>
          <wp:positionH relativeFrom="page">
            <wp:posOffset>1827504</wp:posOffset>
          </wp:positionH>
          <wp:positionV relativeFrom="page">
            <wp:posOffset>3419830</wp:posOffset>
          </wp:positionV>
          <wp:extent cx="3905554" cy="39055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554" cy="390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74325"/>
    <w:multiLevelType w:val="hybridMultilevel"/>
    <w:tmpl w:val="66068B4C"/>
    <w:lvl w:ilvl="0" w:tplc="4DEAA078">
      <w:start w:val="1"/>
      <w:numFmt w:val="decimal"/>
      <w:lvlText w:val="(%1)"/>
      <w:lvlJc w:val="left"/>
      <w:pPr>
        <w:ind w:left="14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B4D00F12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2" w:tplc="9F7278CE">
      <w:numFmt w:val="bullet"/>
      <w:lvlText w:val="•"/>
      <w:lvlJc w:val="left"/>
      <w:pPr>
        <w:ind w:left="1869" w:hanging="360"/>
      </w:pPr>
      <w:rPr>
        <w:rFonts w:hint="default"/>
        <w:lang w:val="es-ES" w:eastAsia="en-US" w:bidi="ar-SA"/>
      </w:rPr>
    </w:lvl>
    <w:lvl w:ilvl="3" w:tplc="E15C4418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E370E850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5" w:tplc="E6C0E614"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6" w:tplc="2B76C8C2">
      <w:numFmt w:val="bullet"/>
      <w:lvlText w:val="•"/>
      <w:lvlJc w:val="left"/>
      <w:pPr>
        <w:ind w:left="5327" w:hanging="360"/>
      </w:pPr>
      <w:rPr>
        <w:rFonts w:hint="default"/>
        <w:lang w:val="es-ES" w:eastAsia="en-US" w:bidi="ar-SA"/>
      </w:rPr>
    </w:lvl>
    <w:lvl w:ilvl="7" w:tplc="5C4AF66E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8" w:tplc="87983F9C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</w:abstractNum>
  <w:num w:numId="1" w16cid:durableId="8402385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1A"/>
    <w:rsid w:val="00806E90"/>
    <w:rsid w:val="00AE72EB"/>
    <w:rsid w:val="00B6001A"/>
    <w:rsid w:val="00D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70BABE6"/>
  <w15:docId w15:val="{6BAE0D11-75DC-42AF-B763-3F5FCBE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75" w:lineRule="exact"/>
      <w:ind w:left="786" w:right="78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2" w:right="358" w:hanging="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571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1D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571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1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1D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1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1D1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ilsebentencour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2022-08-13T23:38:00Z</dcterms:created>
  <dcterms:modified xsi:type="dcterms:W3CDTF">2022-08-13T23:46:00Z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2022-08-13T00:00:00Z</vt:filetime>
  </property>
</Properties>
</file>