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2FED" w14:textId="77777777" w:rsidR="0010183E" w:rsidRDefault="00212F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Pinturas </w:t>
      </w:r>
      <w:proofErr w:type="spellStart"/>
      <w:r>
        <w:rPr>
          <w:b/>
          <w:color w:val="000000"/>
        </w:rPr>
        <w:t>fotocatalíticas</w:t>
      </w:r>
      <w:proofErr w:type="spellEnd"/>
      <w:r>
        <w:rPr>
          <w:b/>
          <w:color w:val="000000"/>
        </w:rPr>
        <w:t xml:space="preserve"> para la inactivación de fagos de bacterias lácticas</w:t>
      </w:r>
    </w:p>
    <w:p w14:paraId="434A4A20" w14:textId="77777777" w:rsidR="0010183E" w:rsidRDefault="0010183E">
      <w:pPr>
        <w:spacing w:after="0" w:line="240" w:lineRule="auto"/>
        <w:ind w:left="0" w:hanging="2"/>
        <w:jc w:val="center"/>
      </w:pPr>
    </w:p>
    <w:p w14:paraId="140A7BDA" w14:textId="77777777" w:rsidR="0010183E" w:rsidRDefault="00212FE3">
      <w:pPr>
        <w:spacing w:after="0" w:line="240" w:lineRule="auto"/>
        <w:ind w:left="0" w:hanging="2"/>
        <w:jc w:val="center"/>
      </w:pPr>
      <w:r>
        <w:t xml:space="preserve">Jacob MF (1), </w:t>
      </w:r>
      <w:proofErr w:type="spellStart"/>
      <w:r>
        <w:t>Quiberoni</w:t>
      </w:r>
      <w:proofErr w:type="spellEnd"/>
      <w:r>
        <w:t xml:space="preserve"> AL (1), </w:t>
      </w:r>
      <w:proofErr w:type="spellStart"/>
      <w:r>
        <w:t>Ballari</w:t>
      </w:r>
      <w:proofErr w:type="spellEnd"/>
      <w:r>
        <w:t xml:space="preserve"> MM (2), </w:t>
      </w:r>
      <w:proofErr w:type="spellStart"/>
      <w:r>
        <w:t>Briggiler</w:t>
      </w:r>
      <w:proofErr w:type="spellEnd"/>
      <w:r>
        <w:t xml:space="preserve"> Marcó M (1)</w:t>
      </w:r>
    </w:p>
    <w:p w14:paraId="713E25F2" w14:textId="77777777" w:rsidR="0010183E" w:rsidRDefault="0010183E">
      <w:pPr>
        <w:spacing w:after="0" w:line="240" w:lineRule="auto"/>
        <w:ind w:left="0" w:hanging="2"/>
        <w:jc w:val="center"/>
      </w:pPr>
    </w:p>
    <w:p w14:paraId="7842A740" w14:textId="77777777" w:rsidR="0010183E" w:rsidRDefault="00212F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>
        <w:rPr>
          <w:color w:val="000000"/>
        </w:rPr>
        <w:t>Instituto de Lactología Industrial (INLAIN, Universidad Nacional del Litoral - Consejo Nacional de Investigaciones Científicas y Técnicas), Santiago del Estero 2829, Santa Fe, Santa Fe, Argentina.</w:t>
      </w:r>
    </w:p>
    <w:p w14:paraId="301749A6" w14:textId="77777777" w:rsidR="0010183E" w:rsidRDefault="00212F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Instituto de Desarrollo Tecnológico para la Industria Química (INTEC, Universidad Nacional del Litoral - Consejo Nacional de Investigaciones Científicas y Técnicas), Ruta Nacional 168, Santa Fe, Santa Fe, Argentina.</w:t>
      </w:r>
    </w:p>
    <w:p w14:paraId="771DF353" w14:textId="3040E4E3" w:rsidR="0010183E" w:rsidRPr="002216CC" w:rsidRDefault="00212FE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 w:rsidRPr="002216CC">
        <w:t>mbriggi@fiq.unl.edu.ar</w:t>
      </w:r>
    </w:p>
    <w:p w14:paraId="272B4F1B" w14:textId="77777777" w:rsidR="0010183E" w:rsidRDefault="0010183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b/>
          <w:color w:val="000000"/>
        </w:rPr>
      </w:pPr>
    </w:p>
    <w:p w14:paraId="438678A7" w14:textId="77777777" w:rsidR="0010183E" w:rsidRDefault="00212FE3">
      <w:pPr>
        <w:spacing w:after="0" w:line="240" w:lineRule="auto"/>
        <w:ind w:left="0" w:hanging="2"/>
      </w:pPr>
      <w:r>
        <w:t xml:space="preserve">Las infecciones </w:t>
      </w:r>
      <w:proofErr w:type="spellStart"/>
      <w:r>
        <w:t>fágicas</w:t>
      </w:r>
      <w:proofErr w:type="spellEnd"/>
      <w:r>
        <w:t xml:space="preserve"> causan graves problemas a los procesos fermentativos debido a la lisis celular de los cultivos iniciadores, alterando el proceso de acidificación de los cultivos. Es así que resulta necesario desarrollar nuevas estrategias de inactivación que puedan sumarse a las ya existentes, con el fin de disminuir la incidencia de las infecciones </w:t>
      </w:r>
      <w:proofErr w:type="spellStart"/>
      <w:r>
        <w:t>fágicas</w:t>
      </w:r>
      <w:proofErr w:type="spellEnd"/>
      <w:r>
        <w:t xml:space="preserve">. El objetivo del presente trabajo fue investigar la inactivación de nueve fagos infectivos de bacterias lácticas mediante la aplicación de pinturas </w:t>
      </w:r>
      <w:proofErr w:type="spellStart"/>
      <w:r>
        <w:t>fotocatalíticas</w:t>
      </w:r>
      <w:proofErr w:type="spellEnd"/>
      <w:r>
        <w:t xml:space="preserve"> irradiadas con luz visible. Estas pinturas fueron formuladas con TiO</w:t>
      </w:r>
      <w:r>
        <w:rPr>
          <w:vertAlign w:val="subscript"/>
        </w:rPr>
        <w:t>2</w:t>
      </w:r>
      <w:r>
        <w:t xml:space="preserve"> anatasa dopado con carbono (18 % p/p) que presenta actividad </w:t>
      </w:r>
      <w:proofErr w:type="spellStart"/>
      <w:r>
        <w:t>fotocatalítica</w:t>
      </w:r>
      <w:proofErr w:type="spellEnd"/>
      <w:r>
        <w:t xml:space="preserve"> en el espectro UV-Visible Las experiencias se llevaron a cabo en un reactor que cuenta con dos compartimentos separados: una fuente de emisión y una cámara de irradiación. El sistema de emisión está formado por una estructura metálica que aloja 7 lámparas fluorescentes de 8 W, con un rango de emisión entre 360 a 720 nm. Por otro lado, la cámara de irradiación es una caja metálica en la cual se colocaron los recubrimientos de pintura con las suspensiones </w:t>
      </w:r>
      <w:proofErr w:type="spellStart"/>
      <w:r>
        <w:t>fágicas</w:t>
      </w:r>
      <w:proofErr w:type="spellEnd"/>
      <w:r>
        <w:t xml:space="preserve"> a irradiar. Este compartimento se encuentra cerrado por un vidrio de borosilicato ubicado en la cara superior de la cámara, lo que permite mantener la esterilidad y preservar la humedad y temperatura constantes (80%, 30°C) durante los experimentos. </w:t>
      </w:r>
      <w:r>
        <w:rPr>
          <w:color w:val="000000"/>
        </w:rPr>
        <w:t xml:space="preserve">Para los ensayos, las suspensiones </w:t>
      </w:r>
      <w:proofErr w:type="spellStart"/>
      <w:r>
        <w:rPr>
          <w:color w:val="000000"/>
        </w:rPr>
        <w:t>fágicas</w:t>
      </w:r>
      <w:proofErr w:type="spellEnd"/>
      <w:r>
        <w:rPr>
          <w:color w:val="000000"/>
        </w:rPr>
        <w:t xml:space="preserve"> fueron diluidas en agua destilada estéril (1:10, alcanzando 10</w:t>
      </w:r>
      <w:r>
        <w:rPr>
          <w:color w:val="000000"/>
          <w:vertAlign w:val="superscript"/>
        </w:rPr>
        <w:t>5</w:t>
      </w:r>
      <w:r>
        <w:rPr>
          <w:color w:val="000000"/>
        </w:rPr>
        <w:t>-10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 Unidades Formadoras de Placas, UFP/</w:t>
      </w:r>
      <w:proofErr w:type="spellStart"/>
      <w:r>
        <w:rPr>
          <w:color w:val="000000"/>
        </w:rPr>
        <w:t>mL</w:t>
      </w:r>
      <w:proofErr w:type="spellEnd"/>
      <w:r>
        <w:rPr>
          <w:color w:val="000000"/>
        </w:rPr>
        <w:t xml:space="preserve">), depositadas (20 µL) sobre placas de vidrio borosilicato recubiertas con pintura </w:t>
      </w:r>
      <w:proofErr w:type="spellStart"/>
      <w:r>
        <w:rPr>
          <w:color w:val="000000"/>
        </w:rPr>
        <w:t>fotocatalítica</w:t>
      </w:r>
      <w:proofErr w:type="spellEnd"/>
      <w:r>
        <w:rPr>
          <w:color w:val="000000"/>
        </w:rPr>
        <w:t xml:space="preserve"> y secadas en un ambiente estéril. Los ensayos de inactivación fueron realizados en función del tiempo, durante 6 horas (tiempo total), tomando muestras a intervalos establecidos y realizando la cuantificación de los fagos por el método de la doble capa </w:t>
      </w:r>
      <w:proofErr w:type="spellStart"/>
      <w:r>
        <w:rPr>
          <w:color w:val="000000"/>
        </w:rPr>
        <w:t>agarizada</w:t>
      </w:r>
      <w:proofErr w:type="spellEnd"/>
      <w:r>
        <w:rPr>
          <w:color w:val="000000"/>
        </w:rPr>
        <w:t xml:space="preserve">. </w:t>
      </w:r>
      <w:r>
        <w:t xml:space="preserve">Según los resultados obtenidos, dos de los fagos ensayados se inactivaron completamente a las dos horas de tratamiento (reducciones de 5,4 – 5,8 órdenes log), uno lo hizo a las tres horas (reducción de 3,8 órdenes log), mientras que no se detectaron partículas infectivas para dos fagos luego de cuatro horas de tratamiento (reducciones de 3,8 – 5,3 órdenes log). Por otro lado, se logró una inactivación parcial para los cuatro fagos restantes al ensayar las pinturas </w:t>
      </w:r>
      <w:proofErr w:type="spellStart"/>
      <w:r>
        <w:t>fotocatalíticas</w:t>
      </w:r>
      <w:proofErr w:type="spellEnd"/>
      <w:r>
        <w:t xml:space="preserve">. En este sentido, para dos fagos se observó una reducción de los títulos de 2,5 y 2,7 órdenes log a las 4 horas de tratamiento, mientras que dos fagos demostraron mayor resistencia ya que disminuyeron su infectividad en 1,7 y 2 órdenes log a las 6 horas de tratamiento. Los resultados obtenidos demostraron la eficiencia de las pinturas </w:t>
      </w:r>
      <w:proofErr w:type="spellStart"/>
      <w:r>
        <w:t>fotocatalíticas</w:t>
      </w:r>
      <w:proofErr w:type="spellEnd"/>
      <w:r>
        <w:t xml:space="preserve"> en la inactivación de fagos de bacterias lácticas. Estas pinturas podrían aplicarse en paredes interiores y diversas superficies de las plantas de elaboración de </w:t>
      </w:r>
      <w:r>
        <w:lastRenderedPageBreak/>
        <w:t xml:space="preserve">productos fermentados, como alternativa de inactivación de fagos </w:t>
      </w:r>
      <w:r>
        <w:rPr>
          <w:i/>
        </w:rPr>
        <w:t>in situ</w:t>
      </w:r>
      <w:r>
        <w:t xml:space="preserve"> para disminuir el riesgo de infecciones </w:t>
      </w:r>
      <w:proofErr w:type="spellStart"/>
      <w:r>
        <w:t>fágicas</w:t>
      </w:r>
      <w:proofErr w:type="spellEnd"/>
      <w:r>
        <w:t xml:space="preserve"> en la industria láctea. Esto contribuiría a disminuir la carga </w:t>
      </w:r>
      <w:proofErr w:type="spellStart"/>
      <w:r>
        <w:t>fágica</w:t>
      </w:r>
      <w:proofErr w:type="spellEnd"/>
      <w:r>
        <w:t xml:space="preserve"> de los </w:t>
      </w:r>
      <w:proofErr w:type="spellStart"/>
      <w:r>
        <w:t>bioaerosoles</w:t>
      </w:r>
      <w:proofErr w:type="spellEnd"/>
      <w:r>
        <w:t>, principal vía de diseminación de los fagos por los ambientes industriales.</w:t>
      </w:r>
    </w:p>
    <w:p w14:paraId="18CF8134" w14:textId="77777777" w:rsidR="0010183E" w:rsidRDefault="0010183E">
      <w:pPr>
        <w:spacing w:after="0" w:line="240" w:lineRule="auto"/>
        <w:ind w:left="0" w:hanging="2"/>
      </w:pPr>
    </w:p>
    <w:p w14:paraId="6B9C55E5" w14:textId="77777777" w:rsidR="0010183E" w:rsidRDefault="00212FE3">
      <w:pPr>
        <w:spacing w:after="0" w:line="240" w:lineRule="auto"/>
        <w:ind w:left="0" w:hanging="2"/>
      </w:pPr>
      <w:r>
        <w:t xml:space="preserve">Palabras Clave: industria láctea, productos fermentados, estrategias de control </w:t>
      </w:r>
      <w:proofErr w:type="spellStart"/>
      <w:r>
        <w:t>fágico</w:t>
      </w:r>
      <w:proofErr w:type="spellEnd"/>
      <w:r>
        <w:t>, fotocatálisis</w:t>
      </w:r>
    </w:p>
    <w:sectPr w:rsidR="00101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F016" w14:textId="77777777" w:rsidR="00067595" w:rsidRDefault="0006759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9E322C" w14:textId="77777777" w:rsidR="00067595" w:rsidRDefault="0006759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1F03" w14:textId="77777777" w:rsidR="0010183E" w:rsidRDefault="0010183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5B6A" w14:textId="77777777" w:rsidR="0010183E" w:rsidRDefault="0010183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FC02" w14:textId="77777777" w:rsidR="0010183E" w:rsidRDefault="0010183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AC7F" w14:textId="77777777" w:rsidR="00067595" w:rsidRDefault="0006759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01B10B" w14:textId="77777777" w:rsidR="00067595" w:rsidRDefault="0006759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1FCC" w14:textId="77777777" w:rsidR="0010183E" w:rsidRDefault="0010183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7E42" w14:textId="77777777" w:rsidR="0010183E" w:rsidRDefault="00212FE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2022)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45581F" wp14:editId="04528B0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3823" w14:textId="77777777" w:rsidR="0010183E" w:rsidRDefault="0010183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02D"/>
    <w:multiLevelType w:val="multilevel"/>
    <w:tmpl w:val="3CE4896C"/>
    <w:lvl w:ilvl="0">
      <w:start w:val="1"/>
      <w:numFmt w:val="decimal"/>
      <w:lvlText w:val="(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122102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3E"/>
    <w:rsid w:val="00067595"/>
    <w:rsid w:val="0010183E"/>
    <w:rsid w:val="00212FE3"/>
    <w:rsid w:val="002216CC"/>
    <w:rsid w:val="009717F1"/>
    <w:rsid w:val="00BC5284"/>
    <w:rsid w:val="00E4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4935"/>
  <w15:docId w15:val="{D3096349-3DCA-4558-9637-76E0AE44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22A89"/>
    <w:pPr>
      <w:ind w:left="720"/>
      <w:contextualSpacing/>
    </w:pPr>
  </w:style>
  <w:style w:type="paragraph" w:styleId="Revisin">
    <w:name w:val="Revision"/>
    <w:hidden/>
    <w:uiPriority w:val="99"/>
    <w:semiHidden/>
    <w:rsid w:val="00721CFB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21C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1C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1CF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1C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1CFB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57518"/>
    <w:rPr>
      <w:color w:val="605E5C"/>
      <w:shd w:val="clear" w:color="auto" w:fill="E1DFDD"/>
    </w:rPr>
  </w:style>
  <w:style w:type="paragraph" w:customStyle="1" w:styleId="Default">
    <w:name w:val="Default"/>
    <w:rsid w:val="00E57518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K+u06t3Tl+GV5KBPMn5vn2TSIg==">AMUW2mVI0vKhAPSg/aPAE/I8v3F8Hm9SrH4+tW5h19KFqRqGDFkF3EM18Qxe5KiktdpdavllLsOidikpms4K8EAiMAClI8d6XW/nof03NRv5Tf6hoSuD4fg=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2022-08-21T21:19:00Z</dcterms:created>
  <dcterms:modified xsi:type="dcterms:W3CDTF">2022-08-21T21:19:00Z</dcterms:modified>
</cp:coreProperties>
</file>