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50B" w14:textId="6A5335E7" w:rsidR="00FA2FDE" w:rsidRPr="0094416C" w:rsidRDefault="0094416C" w:rsidP="00781D42">
      <w:pPr>
        <w:ind w:left="0"/>
        <w:rPr>
          <w:rStyle w:val="jlqj4b"/>
          <w:color w:val="000000" w:themeColor="text1"/>
        </w:rPr>
      </w:pPr>
      <w:bookmarkStart w:id="0" w:name="_Hlk111531101"/>
      <w:proofErr w:type="spellStart"/>
      <w:r w:rsidRPr="0094416C">
        <w:rPr>
          <w:rStyle w:val="jlqj4b"/>
        </w:rPr>
        <w:t>Inmunotoxicidad</w:t>
      </w:r>
      <w:proofErr w:type="spellEnd"/>
      <w:r w:rsidRPr="0094416C">
        <w:rPr>
          <w:rStyle w:val="jlqj4b"/>
        </w:rPr>
        <w:t xml:space="preserve"> </w:t>
      </w:r>
      <w:r w:rsidR="008339FF" w:rsidRPr="0094416C">
        <w:rPr>
          <w:rStyle w:val="jlqj4b"/>
        </w:rPr>
        <w:t>asociada</w:t>
      </w:r>
      <w:r w:rsidRPr="0094416C">
        <w:rPr>
          <w:rStyle w:val="jlqj4b"/>
        </w:rPr>
        <w:t xml:space="preserve"> al consumo de alimentos contaminados con </w:t>
      </w:r>
      <w:r w:rsidR="00FA2FDE" w:rsidRPr="0094416C">
        <w:rPr>
          <w:rStyle w:val="jlqj4b"/>
        </w:rPr>
        <w:t>aflatoxina B</w:t>
      </w:r>
      <w:r w:rsidR="00FA2FDE" w:rsidRPr="00090458">
        <w:rPr>
          <w:rStyle w:val="jlqj4b"/>
          <w:vertAlign w:val="subscript"/>
        </w:rPr>
        <w:t>1</w:t>
      </w:r>
      <w:r w:rsidR="00FA2FDE" w:rsidRPr="0094416C">
        <w:rPr>
          <w:rStyle w:val="jlqj4b"/>
        </w:rPr>
        <w:t xml:space="preserve"> </w:t>
      </w:r>
      <w:r w:rsidRPr="0094416C">
        <w:rPr>
          <w:rStyle w:val="jlqj4b"/>
          <w:color w:val="000000" w:themeColor="text1"/>
        </w:rPr>
        <w:t>y</w:t>
      </w:r>
      <w:r w:rsidR="00FA2FDE" w:rsidRPr="0094416C">
        <w:rPr>
          <w:rStyle w:val="jlqj4b"/>
          <w:color w:val="000000" w:themeColor="text1"/>
        </w:rPr>
        <w:t xml:space="preserve"> </w:t>
      </w:r>
      <w:proofErr w:type="spellStart"/>
      <w:r w:rsidR="00FA2FDE" w:rsidRPr="0094416C">
        <w:rPr>
          <w:rStyle w:val="jlqj4b"/>
          <w:color w:val="000000" w:themeColor="text1"/>
        </w:rPr>
        <w:t>fumonisina</w:t>
      </w:r>
      <w:proofErr w:type="spellEnd"/>
      <w:r w:rsidR="00FA2FDE" w:rsidRPr="0094416C">
        <w:rPr>
          <w:rStyle w:val="jlqj4b"/>
          <w:color w:val="000000" w:themeColor="text1"/>
        </w:rPr>
        <w:t xml:space="preserve"> B</w:t>
      </w:r>
      <w:r w:rsidR="00FA2FDE" w:rsidRPr="00090458">
        <w:rPr>
          <w:rStyle w:val="jlqj4b"/>
          <w:color w:val="000000" w:themeColor="text1"/>
          <w:vertAlign w:val="subscript"/>
        </w:rPr>
        <w:t>1</w:t>
      </w:r>
      <w:r w:rsidRPr="0094416C">
        <w:rPr>
          <w:rStyle w:val="jlqj4b"/>
          <w:color w:val="000000" w:themeColor="text1"/>
        </w:rPr>
        <w:t xml:space="preserve">: Participación del receptor de </w:t>
      </w:r>
      <w:proofErr w:type="spellStart"/>
      <w:r w:rsidRPr="0094416C">
        <w:rPr>
          <w:rStyle w:val="jlqj4b"/>
          <w:color w:val="000000" w:themeColor="text1"/>
        </w:rPr>
        <w:t>aril</w:t>
      </w:r>
      <w:proofErr w:type="spellEnd"/>
      <w:r w:rsidRPr="0094416C">
        <w:rPr>
          <w:rStyle w:val="jlqj4b"/>
          <w:color w:val="000000" w:themeColor="text1"/>
        </w:rPr>
        <w:t xml:space="preserve"> hidrocarburos</w:t>
      </w:r>
    </w:p>
    <w:p w14:paraId="580A5423" w14:textId="77777777" w:rsidR="00447CAE" w:rsidRDefault="00447CAE" w:rsidP="00D12063">
      <w:pPr>
        <w:pStyle w:val="Normal2"/>
        <w:spacing w:after="0" w:line="240" w:lineRule="auto"/>
        <w:jc w:val="center"/>
      </w:pPr>
    </w:p>
    <w:p w14:paraId="1F4AA4F3" w14:textId="77777777" w:rsidR="00012ECB" w:rsidRDefault="00012ECB" w:rsidP="00D12063">
      <w:pPr>
        <w:pStyle w:val="Normal2"/>
        <w:spacing w:after="0" w:line="240" w:lineRule="auto"/>
        <w:jc w:val="center"/>
      </w:pPr>
      <w:r>
        <w:t xml:space="preserve">Mary VS (1, 2), Velez PA (1, 2), </w:t>
      </w:r>
      <w:r w:rsidR="006F235A">
        <w:t>Álvarez Ugalde C</w:t>
      </w:r>
      <w:r>
        <w:t xml:space="preserve"> (2),</w:t>
      </w:r>
      <w:r w:rsidRPr="00012ECB">
        <w:t xml:space="preserve"> Rubinstein HR</w:t>
      </w:r>
      <w:r>
        <w:t xml:space="preserve"> (2),</w:t>
      </w:r>
      <w:r w:rsidRPr="00012ECB">
        <w:t xml:space="preserve"> </w:t>
      </w:r>
      <w:proofErr w:type="spellStart"/>
      <w:r w:rsidRPr="00012ECB">
        <w:t>Theumer</w:t>
      </w:r>
      <w:proofErr w:type="spellEnd"/>
      <w:r w:rsidRPr="00012ECB">
        <w:t xml:space="preserve"> MG</w:t>
      </w:r>
      <w:bookmarkEnd w:id="0"/>
      <w:r>
        <w:t xml:space="preserve"> (1, 2)</w:t>
      </w:r>
    </w:p>
    <w:p w14:paraId="0DA6B6C7" w14:textId="77777777" w:rsidR="00447CAE" w:rsidRDefault="00447CAE" w:rsidP="00D12063">
      <w:pPr>
        <w:pStyle w:val="Normal2"/>
        <w:spacing w:after="0" w:line="240" w:lineRule="auto"/>
      </w:pPr>
    </w:p>
    <w:p w14:paraId="4FBEA21F" w14:textId="77777777" w:rsidR="00447CAE" w:rsidRDefault="00716249" w:rsidP="004947D5">
      <w:pPr>
        <w:pStyle w:val="Normal2"/>
        <w:spacing w:after="120" w:line="240" w:lineRule="auto"/>
      </w:pPr>
      <w:r>
        <w:t xml:space="preserve">(1) </w:t>
      </w:r>
      <w:r w:rsidR="00012ECB" w:rsidRPr="00012ECB">
        <w:t xml:space="preserve">Centro de Investigaciones en Bioquímica Clínica e Inmunología (CIBICI). Haya de la Torre y Medina Allende, sin número, Ciudad Universitaria, Córdoba Capital, Córdoba, Argentina. </w:t>
      </w:r>
    </w:p>
    <w:p w14:paraId="5F5E5115" w14:textId="77777777" w:rsidR="00781D42" w:rsidRDefault="00716249" w:rsidP="004947D5">
      <w:pPr>
        <w:pStyle w:val="Normal2"/>
        <w:spacing w:line="240" w:lineRule="auto"/>
      </w:pPr>
      <w:r>
        <w:t xml:space="preserve">(2) </w:t>
      </w:r>
      <w:r w:rsidR="00012ECB" w:rsidRPr="00012ECB">
        <w:t>Universidad Nacional de Córdoba. Facultad de Ciencias Químicas. Departamento de Bioquímica Clínica. Haya de la Torre y Medina Allende, sin número, Ciudad Universitaria, Córdoba Capital, Córdoba, Argentina.</w:t>
      </w:r>
    </w:p>
    <w:p w14:paraId="405979F5" w14:textId="77777777" w:rsidR="00447CAE" w:rsidRDefault="00781D42" w:rsidP="00D12063">
      <w:pPr>
        <w:pStyle w:val="Normal2"/>
        <w:spacing w:after="0" w:line="240" w:lineRule="auto"/>
      </w:pPr>
      <w:r w:rsidRPr="00781D42">
        <w:t>vmary@unc.edu.ar</w:t>
      </w:r>
    </w:p>
    <w:p w14:paraId="43A871FD" w14:textId="77777777" w:rsidR="00447CAE" w:rsidRDefault="00716249" w:rsidP="00D1206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3029C36A" w14:textId="77777777" w:rsidR="002D6FF6" w:rsidRDefault="00C85AFB" w:rsidP="002D6FF6">
      <w:pPr>
        <w:pStyle w:val="Normal2"/>
        <w:spacing w:after="0" w:line="240" w:lineRule="auto"/>
      </w:pPr>
      <w:r w:rsidRPr="00FC3743">
        <w:t xml:space="preserve">Entre las micotoxinas más importantes como contaminantes de cereales y piensos, se encuentran </w:t>
      </w:r>
      <w:r w:rsidRPr="00FC3743">
        <w:rPr>
          <w:rStyle w:val="jlqj4b"/>
        </w:rPr>
        <w:t>aflatoxina B</w:t>
      </w:r>
      <w:r w:rsidRPr="00090458">
        <w:rPr>
          <w:rStyle w:val="jlqj4b"/>
          <w:vertAlign w:val="subscript"/>
        </w:rPr>
        <w:t>1</w:t>
      </w:r>
      <w:r w:rsidRPr="00FC3743">
        <w:rPr>
          <w:rStyle w:val="jlqj4b"/>
        </w:rPr>
        <w:t xml:space="preserve"> (AFB</w:t>
      </w:r>
      <w:r w:rsidRPr="00090458">
        <w:rPr>
          <w:rStyle w:val="jlqj4b"/>
          <w:vertAlign w:val="subscript"/>
        </w:rPr>
        <w:t>1</w:t>
      </w:r>
      <w:r w:rsidRPr="00FC3743">
        <w:rPr>
          <w:rStyle w:val="jlqj4b"/>
        </w:rPr>
        <w:t xml:space="preserve">) y </w:t>
      </w:r>
      <w:proofErr w:type="spellStart"/>
      <w:r w:rsidRPr="00FC3743">
        <w:rPr>
          <w:rStyle w:val="jlqj4b"/>
        </w:rPr>
        <w:t>fumonisina</w:t>
      </w:r>
      <w:proofErr w:type="spellEnd"/>
      <w:r w:rsidRPr="00FC3743">
        <w:rPr>
          <w:rStyle w:val="jlqj4b"/>
        </w:rPr>
        <w:t xml:space="preserve"> B</w:t>
      </w:r>
      <w:r w:rsidRPr="00090458">
        <w:rPr>
          <w:rStyle w:val="jlqj4b"/>
          <w:vertAlign w:val="subscript"/>
        </w:rPr>
        <w:t>1</w:t>
      </w:r>
      <w:r w:rsidRPr="00FC3743">
        <w:rPr>
          <w:rStyle w:val="jlqj4b"/>
        </w:rPr>
        <w:t xml:space="preserve"> (FB</w:t>
      </w:r>
      <w:r w:rsidRPr="00090458">
        <w:rPr>
          <w:rStyle w:val="jlqj4b"/>
          <w:vertAlign w:val="subscript"/>
        </w:rPr>
        <w:t>1</w:t>
      </w:r>
      <w:r w:rsidRPr="00FC3743">
        <w:rPr>
          <w:rStyle w:val="jlqj4b"/>
        </w:rPr>
        <w:t>)</w:t>
      </w:r>
      <w:r w:rsidRPr="00FC3743">
        <w:t>, y l</w:t>
      </w:r>
      <w:r w:rsidRPr="00FC3743">
        <w:rPr>
          <w:rStyle w:val="jlqj4b"/>
        </w:rPr>
        <w:t xml:space="preserve">a </w:t>
      </w:r>
      <w:proofErr w:type="spellStart"/>
      <w:r w:rsidRPr="00FC3743">
        <w:rPr>
          <w:rStyle w:val="jlqj4b"/>
        </w:rPr>
        <w:t>co</w:t>
      </w:r>
      <w:proofErr w:type="spellEnd"/>
      <w:r w:rsidRPr="00FC3743">
        <w:rPr>
          <w:rStyle w:val="jlqj4b"/>
          <w:lang w:val="es-ES"/>
        </w:rPr>
        <w:t>-</w:t>
      </w:r>
      <w:r w:rsidRPr="00FC3743">
        <w:rPr>
          <w:rStyle w:val="jlqj4b"/>
        </w:rPr>
        <w:t>exposición natural a ambas es frecuente</w:t>
      </w:r>
      <w:r>
        <w:rPr>
          <w:rStyle w:val="jlqj4b"/>
        </w:rPr>
        <w:t xml:space="preserve"> en el mundo.</w:t>
      </w:r>
      <w:r w:rsidR="0024395F">
        <w:rPr>
          <w:rStyle w:val="jlqj4b"/>
        </w:rPr>
        <w:t xml:space="preserve"> </w:t>
      </w:r>
      <w:r w:rsidR="00437906" w:rsidRPr="00AF1C94">
        <w:rPr>
          <w:rStyle w:val="jlqj4b"/>
        </w:rPr>
        <w:t xml:space="preserve">La toxicidad de </w:t>
      </w:r>
      <w:r w:rsidR="00437906" w:rsidRPr="00F61D9B">
        <w:rPr>
          <w:rStyle w:val="jlqj4b"/>
        </w:rPr>
        <w:t>AFB</w:t>
      </w:r>
      <w:r w:rsidR="00437906" w:rsidRPr="00090458">
        <w:rPr>
          <w:rStyle w:val="jlqj4b"/>
          <w:vertAlign w:val="subscript"/>
        </w:rPr>
        <w:t>1</w:t>
      </w:r>
      <w:r w:rsidR="00437906" w:rsidRPr="00F61D9B">
        <w:rPr>
          <w:rStyle w:val="jlqj4b"/>
        </w:rPr>
        <w:t xml:space="preserve"> está relacionada </w:t>
      </w:r>
      <w:r w:rsidR="00437906">
        <w:rPr>
          <w:rStyle w:val="jlqj4b"/>
        </w:rPr>
        <w:t>a</w:t>
      </w:r>
      <w:r w:rsidR="00437906" w:rsidRPr="00F61D9B">
        <w:rPr>
          <w:rStyle w:val="jlqj4b"/>
        </w:rPr>
        <w:t xml:space="preserve"> su metabolización por el citocromo P4501A, que es inducido por la activación del receptor de </w:t>
      </w:r>
      <w:proofErr w:type="spellStart"/>
      <w:r w:rsidR="00437906" w:rsidRPr="00F61D9B">
        <w:rPr>
          <w:rStyle w:val="jlqj4b"/>
          <w:lang w:val="es-ES"/>
        </w:rPr>
        <w:t>aril</w:t>
      </w:r>
      <w:proofErr w:type="spellEnd"/>
      <w:r w:rsidR="00437906" w:rsidRPr="00F61D9B">
        <w:rPr>
          <w:rStyle w:val="jlqj4b"/>
        </w:rPr>
        <w:t xml:space="preserve">hidrocarburos </w:t>
      </w:r>
      <w:r w:rsidR="00437906" w:rsidRPr="00F61D9B">
        <w:rPr>
          <w:rStyle w:val="jlqj4b"/>
          <w:lang w:val="es-ES"/>
        </w:rPr>
        <w:t>(</w:t>
      </w:r>
      <w:proofErr w:type="spellStart"/>
      <w:r w:rsidR="00437906" w:rsidRPr="00F61D9B">
        <w:rPr>
          <w:rStyle w:val="jlqj4b"/>
          <w:lang w:val="es-ES"/>
        </w:rPr>
        <w:t>Ahr</w:t>
      </w:r>
      <w:proofErr w:type="spellEnd"/>
      <w:r w:rsidR="00437906">
        <w:rPr>
          <w:rStyle w:val="jlqj4b"/>
          <w:lang w:val="es-ES"/>
        </w:rPr>
        <w:t xml:space="preserve">), el cual </w:t>
      </w:r>
      <w:r w:rsidRPr="00437906">
        <w:rPr>
          <w:rStyle w:val="jlqj4b"/>
          <w:lang w:val="es-ES"/>
        </w:rPr>
        <w:t>es capaz de modular el sistema inmune</w:t>
      </w:r>
      <w:r>
        <w:rPr>
          <w:rStyle w:val="jlqj4b"/>
          <w:lang w:val="es-ES"/>
        </w:rPr>
        <w:t xml:space="preserve">, </w:t>
      </w:r>
      <w:r w:rsidR="00437906">
        <w:rPr>
          <w:rStyle w:val="jlqj4b"/>
          <w:lang w:val="es-ES"/>
        </w:rPr>
        <w:t>regula</w:t>
      </w:r>
      <w:r>
        <w:rPr>
          <w:rStyle w:val="jlqj4b"/>
          <w:lang w:val="es-ES"/>
        </w:rPr>
        <w:t>ndo</w:t>
      </w:r>
      <w:r w:rsidR="00437906">
        <w:rPr>
          <w:rStyle w:val="jlqj4b"/>
          <w:lang w:val="es-ES"/>
        </w:rPr>
        <w:t xml:space="preserve"> la </w:t>
      </w:r>
      <w:r w:rsidR="00437906" w:rsidRPr="00AF1C94">
        <w:rPr>
          <w:rStyle w:val="jlqj4b"/>
        </w:rPr>
        <w:t xml:space="preserve">diferenciación de las células T a células </w:t>
      </w:r>
      <w:proofErr w:type="spellStart"/>
      <w:r w:rsidR="00437906" w:rsidRPr="0010644F">
        <w:rPr>
          <w:rStyle w:val="jlqj4b"/>
        </w:rPr>
        <w:t>pro-inflamatorias</w:t>
      </w:r>
      <w:proofErr w:type="spellEnd"/>
      <w:r w:rsidR="00437906" w:rsidRPr="0010644F">
        <w:rPr>
          <w:rStyle w:val="jlqj4b"/>
        </w:rPr>
        <w:t xml:space="preserve"> </w:t>
      </w:r>
      <w:r w:rsidR="00437906" w:rsidRPr="00A266CF">
        <w:rPr>
          <w:rStyle w:val="jlqj4b"/>
        </w:rPr>
        <w:t xml:space="preserve">Th17, </w:t>
      </w:r>
      <w:r w:rsidR="00A266CF" w:rsidRPr="00A266CF">
        <w:rPr>
          <w:rStyle w:val="jlqj4b"/>
        </w:rPr>
        <w:t>las cuales s</w:t>
      </w:r>
      <w:r w:rsidR="00A266CF" w:rsidRPr="00A266CF">
        <w:t>on esenciales para mantener la integridad de la mucosa gastrointestinal</w:t>
      </w:r>
      <w:r w:rsidR="00A266CF" w:rsidRPr="00A266CF">
        <w:rPr>
          <w:bCs/>
        </w:rPr>
        <w:t>, y combatir infecciones intestinales</w:t>
      </w:r>
      <w:r w:rsidR="00437906" w:rsidRPr="00AF1C94">
        <w:rPr>
          <w:rStyle w:val="jlqj4b"/>
        </w:rPr>
        <w:t xml:space="preserve">. </w:t>
      </w:r>
      <w:r w:rsidR="00437906">
        <w:rPr>
          <w:rStyle w:val="jlqj4b"/>
          <w:lang w:val="es-ES"/>
        </w:rPr>
        <w:t xml:space="preserve">En </w:t>
      </w:r>
      <w:r w:rsidR="00437906" w:rsidRPr="00AF1C94">
        <w:rPr>
          <w:rStyle w:val="jlqj4b"/>
          <w:lang w:val="es-ES"/>
        </w:rPr>
        <w:t>estudios previos</w:t>
      </w:r>
      <w:r w:rsidR="00437906">
        <w:rPr>
          <w:rStyle w:val="jlqj4b"/>
          <w:lang w:val="es-ES"/>
        </w:rPr>
        <w:t xml:space="preserve"> demostramos que </w:t>
      </w:r>
      <w:r w:rsidR="00437906" w:rsidRPr="00AF1C94">
        <w:rPr>
          <w:rStyle w:val="jlqj4b"/>
        </w:rPr>
        <w:t>AFB1</w:t>
      </w:r>
      <w:r w:rsidR="00437906">
        <w:rPr>
          <w:rStyle w:val="jlqj4b"/>
          <w:lang w:val="es-ES"/>
        </w:rPr>
        <w:t>sola</w:t>
      </w:r>
      <w:r w:rsidR="00437906" w:rsidRPr="00AF1C94">
        <w:rPr>
          <w:rStyle w:val="jlqj4b"/>
          <w:lang w:val="es-ES"/>
        </w:rPr>
        <w:t xml:space="preserve"> y co</w:t>
      </w:r>
      <w:r w:rsidR="00437906">
        <w:rPr>
          <w:rStyle w:val="jlqj4b"/>
          <w:lang w:val="es-ES"/>
        </w:rPr>
        <w:t xml:space="preserve">mbinada con </w:t>
      </w:r>
      <w:r w:rsidR="00437906" w:rsidRPr="00AF1C94">
        <w:rPr>
          <w:rStyle w:val="jlqj4b"/>
        </w:rPr>
        <w:t>FB1</w:t>
      </w:r>
      <w:r w:rsidR="00437906">
        <w:rPr>
          <w:rStyle w:val="jlqj4b"/>
        </w:rPr>
        <w:t>,</w:t>
      </w:r>
      <w:r w:rsidR="00437906" w:rsidRPr="00DC03B1">
        <w:rPr>
          <w:rStyle w:val="jlqj4b"/>
          <w:lang w:val="es-ES"/>
        </w:rPr>
        <w:t xml:space="preserve"> inducen la activación de </w:t>
      </w:r>
      <w:proofErr w:type="spellStart"/>
      <w:r w:rsidR="00437906" w:rsidRPr="00DC03B1">
        <w:rPr>
          <w:rStyle w:val="jlqj4b"/>
          <w:lang w:val="es-ES"/>
        </w:rPr>
        <w:t>Ah</w:t>
      </w:r>
      <w:r w:rsidR="00437906">
        <w:rPr>
          <w:rStyle w:val="jlqj4b"/>
          <w:lang w:val="es-ES"/>
        </w:rPr>
        <w:t>r</w:t>
      </w:r>
      <w:proofErr w:type="spellEnd"/>
      <w:r w:rsidR="00437906">
        <w:rPr>
          <w:rStyle w:val="jlqj4b"/>
          <w:lang w:val="es-ES"/>
        </w:rPr>
        <w:t xml:space="preserve"> en </w:t>
      </w:r>
      <w:r w:rsidR="00437906" w:rsidRPr="00F61D9B">
        <w:rPr>
          <w:rStyle w:val="jlqj4b"/>
          <w:lang w:val="es-ES"/>
        </w:rPr>
        <w:t>células mononucleares de bazo (CMB) de ratones</w:t>
      </w:r>
      <w:r>
        <w:rPr>
          <w:rStyle w:val="jlqj4b"/>
          <w:lang w:val="es-ES"/>
        </w:rPr>
        <w:t xml:space="preserve"> y ratas</w:t>
      </w:r>
      <w:r w:rsidR="00437906" w:rsidRPr="00F61D9B">
        <w:rPr>
          <w:rStyle w:val="jlqj4b"/>
          <w:lang w:val="es-ES"/>
        </w:rPr>
        <w:t>.</w:t>
      </w:r>
      <w:r w:rsidR="0024395F">
        <w:rPr>
          <w:rStyle w:val="jlqj4b"/>
          <w:lang w:val="es-ES"/>
        </w:rPr>
        <w:t xml:space="preserve"> </w:t>
      </w:r>
      <w:r w:rsidR="00437906" w:rsidRPr="00F61D9B">
        <w:rPr>
          <w:rStyle w:val="jlqj4b"/>
          <w:lang w:val="es-ES"/>
        </w:rPr>
        <w:t>El objetivo de</w:t>
      </w:r>
      <w:r w:rsidR="00437906">
        <w:rPr>
          <w:rStyle w:val="jlqj4b"/>
          <w:lang w:val="es-ES"/>
        </w:rPr>
        <w:t>l presente</w:t>
      </w:r>
      <w:r w:rsidR="00437906" w:rsidRPr="00F61D9B">
        <w:rPr>
          <w:rStyle w:val="jlqj4b"/>
          <w:lang w:val="es-ES"/>
        </w:rPr>
        <w:t xml:space="preserve"> trabajo fue </w:t>
      </w:r>
      <w:r w:rsidR="00437906">
        <w:rPr>
          <w:rStyle w:val="jlqj4b"/>
          <w:lang w:val="es-ES"/>
        </w:rPr>
        <w:t xml:space="preserve">investigar </w:t>
      </w:r>
      <w:r w:rsidR="00312056">
        <w:rPr>
          <w:rStyle w:val="jlqj4b"/>
          <w:lang w:val="es-ES"/>
        </w:rPr>
        <w:t>su</w:t>
      </w:r>
      <w:r w:rsidR="00312056" w:rsidRPr="00F61D9B">
        <w:rPr>
          <w:rStyle w:val="jlqj4b"/>
          <w:lang w:val="es-ES"/>
        </w:rPr>
        <w:t xml:space="preserve">s </w:t>
      </w:r>
      <w:r w:rsidR="00437906" w:rsidRPr="00F61D9B">
        <w:rPr>
          <w:rStyle w:val="jlqj4b"/>
          <w:lang w:val="es-ES"/>
        </w:rPr>
        <w:t xml:space="preserve">efectos </w:t>
      </w:r>
      <w:proofErr w:type="spellStart"/>
      <w:r w:rsidR="00437906" w:rsidRPr="00F61D9B">
        <w:rPr>
          <w:rStyle w:val="jlqj4b"/>
          <w:lang w:val="es-ES"/>
        </w:rPr>
        <w:t>inmunotóxicos</w:t>
      </w:r>
      <w:proofErr w:type="spellEnd"/>
      <w:r w:rsidR="00437906" w:rsidRPr="00F61D9B">
        <w:rPr>
          <w:rStyle w:val="jlqj4b"/>
          <w:lang w:val="es-ES"/>
        </w:rPr>
        <w:t xml:space="preserve"> sobre la diferenciación de las </w:t>
      </w:r>
      <w:r w:rsidR="00437906" w:rsidRPr="00F61D9B">
        <w:rPr>
          <w:rStyle w:val="jlqj4b"/>
        </w:rPr>
        <w:t>célulasT</w:t>
      </w:r>
      <w:r w:rsidR="00437906">
        <w:rPr>
          <w:rStyle w:val="jlqj4b"/>
        </w:rPr>
        <w:t>h17</w:t>
      </w:r>
      <w:r w:rsidR="00437906" w:rsidRPr="00F61D9B">
        <w:rPr>
          <w:rStyle w:val="jlqj4b"/>
        </w:rPr>
        <w:t xml:space="preserve">, </w:t>
      </w:r>
      <w:r w:rsidR="00437906" w:rsidRPr="00F61D9B">
        <w:rPr>
          <w:rStyle w:val="jlqj4b"/>
          <w:lang w:val="es-ES"/>
        </w:rPr>
        <w:t xml:space="preserve">y la posible </w:t>
      </w:r>
      <w:r>
        <w:rPr>
          <w:rStyle w:val="jlqj4b"/>
          <w:lang w:val="es-ES"/>
        </w:rPr>
        <w:t>participación</w:t>
      </w:r>
      <w:r w:rsidR="00437906" w:rsidRPr="00F61D9B">
        <w:rPr>
          <w:rStyle w:val="jlqj4b"/>
          <w:lang w:val="es-ES"/>
        </w:rPr>
        <w:t xml:space="preserve"> de</w:t>
      </w:r>
      <w:r>
        <w:rPr>
          <w:rStyle w:val="jlqj4b"/>
          <w:lang w:val="es-ES"/>
        </w:rPr>
        <w:t xml:space="preserve">l receptor </w:t>
      </w:r>
      <w:proofErr w:type="spellStart"/>
      <w:r w:rsidR="00437906" w:rsidRPr="00DC1E2E">
        <w:rPr>
          <w:rStyle w:val="jlqj4b"/>
          <w:lang w:val="es-ES"/>
        </w:rPr>
        <w:t>Ahr</w:t>
      </w:r>
      <w:proofErr w:type="spellEnd"/>
      <w:r w:rsidR="00437906" w:rsidRPr="00DC1E2E">
        <w:rPr>
          <w:rStyle w:val="jlqj4b"/>
          <w:lang w:val="es-ES"/>
        </w:rPr>
        <w:t xml:space="preserve">. </w:t>
      </w:r>
      <w:r w:rsidR="00C9405B" w:rsidRPr="00DC1E2E">
        <w:rPr>
          <w:rStyle w:val="jlqj4b"/>
        </w:rPr>
        <w:t xml:space="preserve">Se utilizaron CMB de ratones machos de las </w:t>
      </w:r>
      <w:r w:rsidR="00C9405B" w:rsidRPr="00DC1E2E">
        <w:t>cepas C57BL/6 (</w:t>
      </w:r>
      <w:r w:rsidR="00C9405B" w:rsidRPr="00DC1E2E">
        <w:rPr>
          <w:i/>
        </w:rPr>
        <w:t xml:space="preserve">wild </w:t>
      </w:r>
      <w:proofErr w:type="spellStart"/>
      <w:r w:rsidR="00C9405B" w:rsidRPr="00DC1E2E">
        <w:rPr>
          <w:i/>
        </w:rPr>
        <w:t>type</w:t>
      </w:r>
      <w:proofErr w:type="spellEnd"/>
      <w:r w:rsidR="00C9405B" w:rsidRPr="00DC1E2E">
        <w:rPr>
          <w:i/>
        </w:rPr>
        <w:t>,</w:t>
      </w:r>
      <w:r w:rsidR="0024395F">
        <w:rPr>
          <w:i/>
        </w:rPr>
        <w:t xml:space="preserve"> </w:t>
      </w:r>
      <w:r w:rsidR="00C9405B" w:rsidRPr="00DC1E2E">
        <w:rPr>
          <w:i/>
        </w:rPr>
        <w:t>WT</w:t>
      </w:r>
      <w:r w:rsidR="00C9405B" w:rsidRPr="00DC1E2E">
        <w:t>) y B6.D2N-Ahr</w:t>
      </w:r>
      <w:r w:rsidR="00C9405B" w:rsidRPr="00DC1E2E">
        <w:rPr>
          <w:vertAlign w:val="superscript"/>
        </w:rPr>
        <w:t>d</w:t>
      </w:r>
      <w:r w:rsidR="00C9405B" w:rsidRPr="00DC1E2E">
        <w:t>/J (</w:t>
      </w:r>
      <w:proofErr w:type="spellStart"/>
      <w:r w:rsidR="00C9405B" w:rsidRPr="00DC1E2E">
        <w:rPr>
          <w:i/>
        </w:rPr>
        <w:t>background</w:t>
      </w:r>
      <w:proofErr w:type="spellEnd"/>
      <w:r w:rsidR="00C9405B" w:rsidRPr="00DC1E2E">
        <w:t xml:space="preserve"> C57BL/6, homocigota para el alelo </w:t>
      </w:r>
      <w:proofErr w:type="spellStart"/>
      <w:r w:rsidR="00C9405B" w:rsidRPr="00DC1E2E">
        <w:t>Ahr</w:t>
      </w:r>
      <w:r w:rsidR="00C9405B" w:rsidRPr="00DC1E2E">
        <w:rPr>
          <w:vertAlign w:val="superscript"/>
        </w:rPr>
        <w:t>d</w:t>
      </w:r>
      <w:proofErr w:type="spellEnd"/>
      <w:r w:rsidR="00C9405B" w:rsidRPr="00DC1E2E">
        <w:t xml:space="preserve">, el cual expresa un </w:t>
      </w:r>
      <w:proofErr w:type="spellStart"/>
      <w:r w:rsidR="00C9405B" w:rsidRPr="00DC1E2E">
        <w:t>Ahr</w:t>
      </w:r>
      <w:proofErr w:type="spellEnd"/>
      <w:r w:rsidR="00C9405B" w:rsidRPr="00DC1E2E">
        <w:t xml:space="preserve"> con baja afinidad por sus ligandos). Las CMB fueron </w:t>
      </w:r>
      <w:r w:rsidR="00C9405B" w:rsidRPr="00DC1E2E">
        <w:rPr>
          <w:rStyle w:val="jlqj4b"/>
        </w:rPr>
        <w:t xml:space="preserve">cultivadas en placas sensibilizadas con anticuerpos anti-CD3/CD28 en medio RPMI (SFB </w:t>
      </w:r>
      <w:r w:rsidR="00574F29" w:rsidRPr="00DC1E2E">
        <w:rPr>
          <w:rStyle w:val="jlqj4b"/>
        </w:rPr>
        <w:t>15</w:t>
      </w:r>
      <w:r w:rsidR="00C9405B" w:rsidRPr="00DC1E2E">
        <w:rPr>
          <w:rStyle w:val="jlqj4b"/>
        </w:rPr>
        <w:t>%), incubadas en presencia o ausencia de TGFβ</w:t>
      </w:r>
      <w:r w:rsidR="00574F29" w:rsidRPr="00DC1E2E">
        <w:rPr>
          <w:rStyle w:val="jlqj4b"/>
        </w:rPr>
        <w:t xml:space="preserve"> 2,5 ng/</w:t>
      </w:r>
      <w:proofErr w:type="spellStart"/>
      <w:r w:rsidR="00574F29" w:rsidRPr="00DC1E2E">
        <w:rPr>
          <w:rStyle w:val="jlqj4b"/>
        </w:rPr>
        <w:t>mL</w:t>
      </w:r>
      <w:proofErr w:type="spellEnd"/>
      <w:r w:rsidR="00574F29" w:rsidRPr="00DC1E2E">
        <w:rPr>
          <w:rStyle w:val="jlqj4b"/>
        </w:rPr>
        <w:t xml:space="preserve"> + </w:t>
      </w:r>
      <w:r w:rsidR="00C9405B" w:rsidRPr="00DC1E2E">
        <w:rPr>
          <w:rStyle w:val="jlqj4b"/>
        </w:rPr>
        <w:t>IL</w:t>
      </w:r>
      <w:r w:rsidR="00574F29" w:rsidRPr="00DC1E2E">
        <w:rPr>
          <w:rStyle w:val="jlqj4b"/>
        </w:rPr>
        <w:t>6 30 ng/</w:t>
      </w:r>
      <w:proofErr w:type="spellStart"/>
      <w:r w:rsidR="00574F29" w:rsidRPr="00DC1E2E">
        <w:rPr>
          <w:rStyle w:val="jlqj4b"/>
        </w:rPr>
        <w:t>mL</w:t>
      </w:r>
      <w:proofErr w:type="spellEnd"/>
      <w:r w:rsidR="00C9405B" w:rsidRPr="00DC1E2E">
        <w:rPr>
          <w:rStyle w:val="jlqj4b"/>
        </w:rPr>
        <w:t>, estimulantes de la diferenciación de células T</w:t>
      </w:r>
      <w:r w:rsidR="00574F29" w:rsidRPr="00DC1E2E">
        <w:rPr>
          <w:rStyle w:val="jlqj4b"/>
        </w:rPr>
        <w:t>h17</w:t>
      </w:r>
      <w:r w:rsidR="00C9405B" w:rsidRPr="00DC1E2E">
        <w:rPr>
          <w:rStyle w:val="jlqj4b"/>
        </w:rPr>
        <w:t>, y expuestas a AFB</w:t>
      </w:r>
      <w:r w:rsidR="00C9405B" w:rsidRPr="00090458">
        <w:rPr>
          <w:rStyle w:val="jlqj4b"/>
          <w:vertAlign w:val="subscript"/>
        </w:rPr>
        <w:t>1</w:t>
      </w:r>
      <w:r w:rsidR="00C9405B" w:rsidRPr="00DC1E2E">
        <w:rPr>
          <w:rStyle w:val="jlqj4b"/>
        </w:rPr>
        <w:t xml:space="preserve"> (</w:t>
      </w:r>
      <w:r w:rsidR="00574F29" w:rsidRPr="00DC1E2E">
        <w:rPr>
          <w:rStyle w:val="jlqj4b"/>
        </w:rPr>
        <w:t xml:space="preserve">0, </w:t>
      </w:r>
      <w:r w:rsidR="00C9405B" w:rsidRPr="00DC1E2E">
        <w:rPr>
          <w:rStyle w:val="jlqj4b"/>
        </w:rPr>
        <w:t xml:space="preserve">5, 25 y 50 </w:t>
      </w:r>
      <w:proofErr w:type="spellStart"/>
      <w:r w:rsidR="00C9405B" w:rsidRPr="00DC1E2E">
        <w:rPr>
          <w:rStyle w:val="jlqj4b"/>
        </w:rPr>
        <w:t>μM</w:t>
      </w:r>
      <w:proofErr w:type="spellEnd"/>
      <w:r w:rsidR="00C9405B" w:rsidRPr="00DC1E2E">
        <w:rPr>
          <w:rStyle w:val="jlqj4b"/>
        </w:rPr>
        <w:t>), FB1 (</w:t>
      </w:r>
      <w:r w:rsidR="00574F29" w:rsidRPr="00DC1E2E">
        <w:rPr>
          <w:rStyle w:val="jlqj4b"/>
        </w:rPr>
        <w:t xml:space="preserve">0, </w:t>
      </w:r>
      <w:r w:rsidR="00C9405B" w:rsidRPr="00DC1E2E">
        <w:rPr>
          <w:rStyle w:val="jlqj4b"/>
        </w:rPr>
        <w:t xml:space="preserve">25, 125 y 250 </w:t>
      </w:r>
      <w:proofErr w:type="spellStart"/>
      <w:r w:rsidR="00C9405B" w:rsidRPr="00DC1E2E">
        <w:rPr>
          <w:rStyle w:val="jlqj4b"/>
        </w:rPr>
        <w:t>μM</w:t>
      </w:r>
      <w:proofErr w:type="spellEnd"/>
      <w:r w:rsidR="00C9405B" w:rsidRPr="00DC1E2E">
        <w:rPr>
          <w:rStyle w:val="jlqj4b"/>
        </w:rPr>
        <w:t>) y mezclas de ambas toxinas, durante 72h. Se determinaron el porcentaje de células T</w:t>
      </w:r>
      <w:r w:rsidR="00574F29" w:rsidRPr="00DC1E2E">
        <w:rPr>
          <w:rStyle w:val="jlqj4b"/>
        </w:rPr>
        <w:t>h17</w:t>
      </w:r>
      <w:r w:rsidR="00C9405B" w:rsidRPr="00DC1E2E">
        <w:rPr>
          <w:rStyle w:val="jlqj4b"/>
        </w:rPr>
        <w:t xml:space="preserve"> (CD4</w:t>
      </w:r>
      <w:r w:rsidR="00C9405B" w:rsidRPr="00DC1E2E">
        <w:rPr>
          <w:rStyle w:val="jlqj4b"/>
          <w:vertAlign w:val="superscript"/>
        </w:rPr>
        <w:t>+</w:t>
      </w:r>
      <w:r w:rsidR="00C9405B" w:rsidRPr="00DC1E2E">
        <w:rPr>
          <w:rStyle w:val="jlqj4b"/>
        </w:rPr>
        <w:t>/</w:t>
      </w:r>
      <w:proofErr w:type="spellStart"/>
      <w:r w:rsidR="00574F29" w:rsidRPr="00DC1E2E">
        <w:rPr>
          <w:rStyle w:val="jlqj4b"/>
        </w:rPr>
        <w:t>RORγt</w:t>
      </w:r>
      <w:proofErr w:type="spellEnd"/>
      <w:r w:rsidR="00C9405B" w:rsidRPr="00DC1E2E">
        <w:rPr>
          <w:rStyle w:val="jlqj4b"/>
          <w:vertAlign w:val="superscript"/>
        </w:rPr>
        <w:t>+</w:t>
      </w:r>
      <w:r w:rsidR="00C9405B" w:rsidRPr="00DC1E2E">
        <w:rPr>
          <w:rStyle w:val="jlqj4b"/>
        </w:rPr>
        <w:t>/</w:t>
      </w:r>
      <w:r w:rsidR="00574F29" w:rsidRPr="00DC1E2E">
        <w:rPr>
          <w:rStyle w:val="jlqj4b"/>
        </w:rPr>
        <w:t>IL17</w:t>
      </w:r>
      <w:r w:rsidR="00574F29" w:rsidRPr="00DC1E2E">
        <w:rPr>
          <w:rStyle w:val="jlqj4b"/>
          <w:vertAlign w:val="superscript"/>
        </w:rPr>
        <w:t>+</w:t>
      </w:r>
      <w:r w:rsidR="00C9405B" w:rsidRPr="00DC1E2E">
        <w:rPr>
          <w:rStyle w:val="jlqj4b"/>
        </w:rPr>
        <w:t xml:space="preserve">) </w:t>
      </w:r>
      <w:r w:rsidR="00574F29" w:rsidRPr="00DC1E2E">
        <w:rPr>
          <w:rStyle w:val="jlqj4b"/>
        </w:rPr>
        <w:t xml:space="preserve">y </w:t>
      </w:r>
      <w:r w:rsidR="00D34380">
        <w:rPr>
          <w:rStyle w:val="jlqj4b"/>
        </w:rPr>
        <w:t>la</w:t>
      </w:r>
      <w:r w:rsidR="00574F29" w:rsidRPr="00DC1E2E">
        <w:rPr>
          <w:rStyle w:val="jlqj4b"/>
        </w:rPr>
        <w:t xml:space="preserve"> expresión de </w:t>
      </w:r>
      <w:proofErr w:type="spellStart"/>
      <w:r w:rsidR="00574F29" w:rsidRPr="00DC1E2E">
        <w:rPr>
          <w:rStyle w:val="jlqj4b"/>
        </w:rPr>
        <w:t>RORγt</w:t>
      </w:r>
      <w:proofErr w:type="spellEnd"/>
      <w:r w:rsidR="0024395F">
        <w:rPr>
          <w:rStyle w:val="jlqj4b"/>
        </w:rPr>
        <w:t xml:space="preserve"> </w:t>
      </w:r>
      <w:r w:rsidR="00574F29" w:rsidRPr="00DC1E2E">
        <w:rPr>
          <w:rStyle w:val="jlqj4b"/>
        </w:rPr>
        <w:t xml:space="preserve">e </w:t>
      </w:r>
      <w:r w:rsidR="00C9405B" w:rsidRPr="00DC1E2E">
        <w:rPr>
          <w:rStyle w:val="jlqj4b"/>
        </w:rPr>
        <w:t>IL1</w:t>
      </w:r>
      <w:r w:rsidR="00574F29" w:rsidRPr="00DC1E2E">
        <w:rPr>
          <w:rStyle w:val="jlqj4b"/>
        </w:rPr>
        <w:t>7</w:t>
      </w:r>
      <w:r w:rsidR="00D34380">
        <w:rPr>
          <w:rStyle w:val="jlqj4b"/>
        </w:rPr>
        <w:t xml:space="preserve"> (</w:t>
      </w:r>
      <w:r w:rsidR="00C9405B" w:rsidRPr="00DC1E2E">
        <w:rPr>
          <w:rStyle w:val="jlqj4b"/>
        </w:rPr>
        <w:t>citometría de flujo</w:t>
      </w:r>
      <w:r w:rsidR="00D34380">
        <w:rPr>
          <w:rStyle w:val="jlqj4b"/>
        </w:rPr>
        <w:t>)</w:t>
      </w:r>
      <w:r w:rsidR="00C9405B" w:rsidRPr="00DC1E2E">
        <w:rPr>
          <w:rStyle w:val="jlqj4b"/>
        </w:rPr>
        <w:t>,</w:t>
      </w:r>
      <w:r w:rsidR="0024395F">
        <w:rPr>
          <w:rStyle w:val="jlqj4b"/>
        </w:rPr>
        <w:t xml:space="preserve"> </w:t>
      </w:r>
      <w:r w:rsidR="00C9405B" w:rsidRPr="00DC1E2E">
        <w:rPr>
          <w:rStyle w:val="jlqj4b"/>
        </w:rPr>
        <w:t>y el nivel de IL1</w:t>
      </w:r>
      <w:r w:rsidR="00574F29" w:rsidRPr="00DC1E2E">
        <w:rPr>
          <w:rStyle w:val="jlqj4b"/>
        </w:rPr>
        <w:t>7</w:t>
      </w:r>
      <w:r w:rsidR="00C9405B" w:rsidRPr="00DC1E2E">
        <w:rPr>
          <w:rStyle w:val="jlqj4b"/>
        </w:rPr>
        <w:t xml:space="preserve"> en los sobrenadantes</w:t>
      </w:r>
      <w:r w:rsidR="00574F29" w:rsidRPr="00DC1E2E">
        <w:rPr>
          <w:rStyle w:val="jlqj4b"/>
        </w:rPr>
        <w:t xml:space="preserve"> de cultivo</w:t>
      </w:r>
      <w:r w:rsidR="006F235A" w:rsidRPr="00DC1E2E">
        <w:rPr>
          <w:rStyle w:val="jlqj4b"/>
        </w:rPr>
        <w:t xml:space="preserve"> de las CMB</w:t>
      </w:r>
      <w:r w:rsidR="00C9405B" w:rsidRPr="00DC1E2E">
        <w:rPr>
          <w:rStyle w:val="jlqj4b"/>
        </w:rPr>
        <w:t xml:space="preserve"> por ELISA.</w:t>
      </w:r>
      <w:r w:rsidR="0024395F">
        <w:rPr>
          <w:rStyle w:val="jlqj4b"/>
        </w:rPr>
        <w:t xml:space="preserve"> </w:t>
      </w:r>
      <w:r w:rsidR="00E0605F">
        <w:rPr>
          <w:rStyle w:val="jlqj4b"/>
        </w:rPr>
        <w:t xml:space="preserve">La </w:t>
      </w:r>
      <w:r w:rsidR="00FC3743" w:rsidRPr="00DC1E2E">
        <w:rPr>
          <w:rStyle w:val="jlqj4b"/>
        </w:rPr>
        <w:t xml:space="preserve">AFB1 (5 </w:t>
      </w:r>
      <w:proofErr w:type="spellStart"/>
      <w:r w:rsidR="00FC3743" w:rsidRPr="00DC1E2E">
        <w:rPr>
          <w:rStyle w:val="jlqj4b"/>
        </w:rPr>
        <w:t>μM</w:t>
      </w:r>
      <w:proofErr w:type="spellEnd"/>
      <w:r w:rsidR="00FC3743" w:rsidRPr="00DC1E2E">
        <w:rPr>
          <w:rStyle w:val="jlqj4b"/>
        </w:rPr>
        <w:t xml:space="preserve">) indujo la </w:t>
      </w:r>
      <w:r w:rsidR="00010CFC" w:rsidRPr="00DC1E2E">
        <w:rPr>
          <w:rStyle w:val="jlqj4b"/>
        </w:rPr>
        <w:t xml:space="preserve">expresión </w:t>
      </w:r>
      <w:r w:rsidR="00FC3743" w:rsidRPr="00DC1E2E">
        <w:rPr>
          <w:rStyle w:val="jlqj4b"/>
        </w:rPr>
        <w:t>de IL1</w:t>
      </w:r>
      <w:r w:rsidR="00010CFC" w:rsidRPr="00DC1E2E">
        <w:rPr>
          <w:rStyle w:val="jlqj4b"/>
        </w:rPr>
        <w:t>7</w:t>
      </w:r>
      <w:r w:rsidR="00FC3743" w:rsidRPr="00DC1E2E">
        <w:rPr>
          <w:rStyle w:val="jlqj4b"/>
        </w:rPr>
        <w:t xml:space="preserve"> y </w:t>
      </w:r>
      <w:r w:rsidR="00010CFC" w:rsidRPr="00DC1E2E">
        <w:rPr>
          <w:rStyle w:val="jlqj4b"/>
        </w:rPr>
        <w:t xml:space="preserve">del factor de transcripción </w:t>
      </w:r>
      <w:proofErr w:type="spellStart"/>
      <w:r w:rsidR="00010CFC" w:rsidRPr="00DC1E2E">
        <w:rPr>
          <w:rStyle w:val="jlqj4b"/>
        </w:rPr>
        <w:t>RORγt</w:t>
      </w:r>
      <w:proofErr w:type="spellEnd"/>
      <w:r w:rsidR="00010CFC" w:rsidRPr="00DC1E2E">
        <w:rPr>
          <w:rStyle w:val="jlqj4b"/>
        </w:rPr>
        <w:t xml:space="preserve"> en las células Th17 de la cepa WT, mientras que AFB1 50 </w:t>
      </w:r>
      <w:proofErr w:type="spellStart"/>
      <w:r w:rsidR="00010CFC" w:rsidRPr="00DC1E2E">
        <w:rPr>
          <w:rStyle w:val="jlqj4b"/>
        </w:rPr>
        <w:t>μM</w:t>
      </w:r>
      <w:proofErr w:type="spellEnd"/>
      <w:r w:rsidR="001F79B3" w:rsidRPr="00DC1E2E">
        <w:rPr>
          <w:rStyle w:val="jlqj4b"/>
        </w:rPr>
        <w:t xml:space="preserve"> d</w:t>
      </w:r>
      <w:r w:rsidR="007B569E" w:rsidRPr="00DC1E2E">
        <w:rPr>
          <w:rStyle w:val="jlqj4b"/>
        </w:rPr>
        <w:t>isminuyó</w:t>
      </w:r>
      <w:r w:rsidR="00894BAF" w:rsidRPr="00DC1E2E">
        <w:rPr>
          <w:rStyle w:val="jlqj4b"/>
        </w:rPr>
        <w:t xml:space="preserve"> el porcentaje de células Th17 y la secreción de IL17</w:t>
      </w:r>
      <w:r w:rsidR="001F79B3" w:rsidRPr="00DC1E2E">
        <w:rPr>
          <w:rStyle w:val="jlqj4b"/>
        </w:rPr>
        <w:t>, de manera</w:t>
      </w:r>
      <w:r w:rsidR="001F79B3">
        <w:rPr>
          <w:rStyle w:val="jlqj4b"/>
        </w:rPr>
        <w:t xml:space="preserve"> dependiente a </w:t>
      </w:r>
      <w:proofErr w:type="spellStart"/>
      <w:r w:rsidR="001F79B3">
        <w:rPr>
          <w:rStyle w:val="jlqj4b"/>
        </w:rPr>
        <w:t>Ahr</w:t>
      </w:r>
      <w:proofErr w:type="spellEnd"/>
      <w:r w:rsidR="001F79B3">
        <w:rPr>
          <w:rStyle w:val="jlqj4b"/>
        </w:rPr>
        <w:t>. Por otro lado, FB1</w:t>
      </w:r>
      <w:r w:rsidR="00A777F4">
        <w:rPr>
          <w:rStyle w:val="jlqj4b"/>
        </w:rPr>
        <w:t>(125 y 250</w:t>
      </w:r>
      <w:r w:rsidR="0024395F">
        <w:rPr>
          <w:rStyle w:val="jlqj4b"/>
        </w:rPr>
        <w:t xml:space="preserve"> </w:t>
      </w:r>
      <w:proofErr w:type="spellStart"/>
      <w:r w:rsidR="00A777F4" w:rsidRPr="00010CFC">
        <w:rPr>
          <w:rStyle w:val="jlqj4b"/>
        </w:rPr>
        <w:t>μM</w:t>
      </w:r>
      <w:proofErr w:type="spellEnd"/>
      <w:r w:rsidR="00A777F4">
        <w:rPr>
          <w:rStyle w:val="jlqj4b"/>
        </w:rPr>
        <w:t xml:space="preserve">) </w:t>
      </w:r>
      <w:r w:rsidR="001F79B3">
        <w:rPr>
          <w:rStyle w:val="jlqj4b"/>
        </w:rPr>
        <w:t>reduj</w:t>
      </w:r>
      <w:r w:rsidR="00A777F4">
        <w:rPr>
          <w:rStyle w:val="jlqj4b"/>
        </w:rPr>
        <w:t>o</w:t>
      </w:r>
      <w:r w:rsidR="001F79B3">
        <w:rPr>
          <w:rStyle w:val="jlqj4b"/>
        </w:rPr>
        <w:t xml:space="preserve"> la diferenciación de las células Th17 y </w:t>
      </w:r>
      <w:r w:rsidR="001929D4">
        <w:rPr>
          <w:rStyle w:val="jlqj4b"/>
        </w:rPr>
        <w:t xml:space="preserve">su </w:t>
      </w:r>
      <w:r w:rsidR="001F79B3">
        <w:rPr>
          <w:rStyle w:val="jlqj4b"/>
        </w:rPr>
        <w:t xml:space="preserve">expresión de IL17 y </w:t>
      </w:r>
      <w:proofErr w:type="spellStart"/>
      <w:r w:rsidR="001F79B3">
        <w:rPr>
          <w:rStyle w:val="jlqj4b"/>
        </w:rPr>
        <w:t>RORγt</w:t>
      </w:r>
      <w:proofErr w:type="spellEnd"/>
      <w:r w:rsidR="001F79B3">
        <w:rPr>
          <w:rStyle w:val="jlqj4b"/>
        </w:rPr>
        <w:t xml:space="preserve">, </w:t>
      </w:r>
      <w:r w:rsidR="00A266CF">
        <w:rPr>
          <w:rStyle w:val="jlqj4b"/>
        </w:rPr>
        <w:t>así como también,</w:t>
      </w:r>
      <w:r w:rsidR="001F79B3">
        <w:rPr>
          <w:rStyle w:val="jlqj4b"/>
        </w:rPr>
        <w:t xml:space="preserve"> la secreción de IL17</w:t>
      </w:r>
      <w:r w:rsidR="007B569E">
        <w:rPr>
          <w:rStyle w:val="jlqj4b"/>
        </w:rPr>
        <w:t>,</w:t>
      </w:r>
      <w:r w:rsidR="001F79B3">
        <w:rPr>
          <w:rStyle w:val="jlqj4b"/>
        </w:rPr>
        <w:t xml:space="preserve"> en los cultivos provenientes de ambas cepas de ratones.</w:t>
      </w:r>
      <w:r w:rsidR="0024395F">
        <w:rPr>
          <w:rStyle w:val="jlqj4b"/>
        </w:rPr>
        <w:t xml:space="preserve"> </w:t>
      </w:r>
      <w:r w:rsidR="001A41B3">
        <w:rPr>
          <w:rStyle w:val="jlqj4b"/>
        </w:rPr>
        <w:t>Asimismo,</w:t>
      </w:r>
      <w:r w:rsidR="00762932">
        <w:rPr>
          <w:rStyle w:val="jlqj4b"/>
        </w:rPr>
        <w:t xml:space="preserve"> l</w:t>
      </w:r>
      <w:r w:rsidR="00A777F4">
        <w:rPr>
          <w:rStyle w:val="jlqj4b"/>
        </w:rPr>
        <w:t>as mezclas de concentraciones altas e intermedias de AFB</w:t>
      </w:r>
      <w:r w:rsidR="00A777F4" w:rsidRPr="00090458">
        <w:rPr>
          <w:rStyle w:val="jlqj4b"/>
          <w:vertAlign w:val="subscript"/>
        </w:rPr>
        <w:t>1</w:t>
      </w:r>
      <w:r w:rsidR="00A777F4">
        <w:rPr>
          <w:rStyle w:val="jlqj4b"/>
        </w:rPr>
        <w:t>-FB</w:t>
      </w:r>
      <w:r w:rsidR="00A777F4" w:rsidRPr="00090458">
        <w:rPr>
          <w:rStyle w:val="jlqj4b"/>
          <w:vertAlign w:val="subscript"/>
        </w:rPr>
        <w:t>1</w:t>
      </w:r>
      <w:r w:rsidR="00A777F4">
        <w:rPr>
          <w:rStyle w:val="jlqj4b"/>
        </w:rPr>
        <w:t xml:space="preserve"> produjeron efectos similares a FB</w:t>
      </w:r>
      <w:r w:rsidR="00A777F4" w:rsidRPr="00090458">
        <w:rPr>
          <w:rStyle w:val="jlqj4b"/>
          <w:vertAlign w:val="subscript"/>
        </w:rPr>
        <w:t>1</w:t>
      </w:r>
      <w:r w:rsidR="00A777F4">
        <w:rPr>
          <w:rStyle w:val="jlqj4b"/>
        </w:rPr>
        <w:t xml:space="preserve"> individual, pero las alteraciones en el porcentaje de células Th17 y la producción de IL17</w:t>
      </w:r>
      <w:r w:rsidR="00DC1E09">
        <w:rPr>
          <w:rStyle w:val="jlqj4b"/>
        </w:rPr>
        <w:t>,</w:t>
      </w:r>
      <w:r w:rsidR="0024395F">
        <w:rPr>
          <w:rStyle w:val="jlqj4b"/>
        </w:rPr>
        <w:t xml:space="preserve"> </w:t>
      </w:r>
      <w:r w:rsidR="00762932">
        <w:rPr>
          <w:rStyle w:val="jlqj4b"/>
        </w:rPr>
        <w:t xml:space="preserve">inducidas por las mezclas, </w:t>
      </w:r>
      <w:r w:rsidR="007B569E">
        <w:rPr>
          <w:rStyle w:val="jlqj4b"/>
        </w:rPr>
        <w:t>ocurrieron principalmente en los cultivos provenientes de la cepa WT.</w:t>
      </w:r>
      <w:r w:rsidR="0024395F">
        <w:rPr>
          <w:rStyle w:val="jlqj4b"/>
        </w:rPr>
        <w:t xml:space="preserve"> </w:t>
      </w:r>
      <w:r w:rsidR="002D6FF6" w:rsidRPr="00F61D9B">
        <w:t xml:space="preserve">En conclusión, </w:t>
      </w:r>
      <w:r w:rsidR="002D6FF6">
        <w:t xml:space="preserve">el consumo de alimentos contaminados con estas micotoxinas puede afectar el sistema inmune, mediante un efecto </w:t>
      </w:r>
      <w:proofErr w:type="spellStart"/>
      <w:r w:rsidR="002D6FF6">
        <w:t>inmunotóxico</w:t>
      </w:r>
      <w:proofErr w:type="spellEnd"/>
      <w:r w:rsidR="002D6FF6">
        <w:t xml:space="preserve"> sobre la respuesta inmune Th17,</w:t>
      </w:r>
      <w:r w:rsidR="0024395F" w:rsidRPr="0024395F">
        <w:t xml:space="preserve"> </w:t>
      </w:r>
      <w:r w:rsidR="00D1767E">
        <w:t xml:space="preserve">capaz de </w:t>
      </w:r>
      <w:r w:rsidR="0024395F" w:rsidRPr="0024395F">
        <w:t xml:space="preserve">incrementar la susceptibilidad a las </w:t>
      </w:r>
      <w:r w:rsidR="0024395F" w:rsidRPr="0024395F">
        <w:lastRenderedPageBreak/>
        <w:t>infecciones intestinales</w:t>
      </w:r>
      <w:r w:rsidR="0024395F">
        <w:t>,</w:t>
      </w:r>
      <w:r w:rsidR="002D6FF6">
        <w:t xml:space="preserve"> ya que, si bien concentraciones bajas de AFB</w:t>
      </w:r>
      <w:r w:rsidR="002D6FF6" w:rsidRPr="00090458">
        <w:rPr>
          <w:vertAlign w:val="subscript"/>
        </w:rPr>
        <w:t>1</w:t>
      </w:r>
      <w:r w:rsidR="002D6FF6">
        <w:t xml:space="preserve"> pueden incrementar la funcionalidad de las células pro-inflamatorias Th17, niveles altos de AFB</w:t>
      </w:r>
      <w:r w:rsidR="002D6FF6" w:rsidRPr="00090458">
        <w:rPr>
          <w:vertAlign w:val="subscript"/>
        </w:rPr>
        <w:t>1</w:t>
      </w:r>
      <w:r w:rsidR="002D6FF6">
        <w:t>, en forma individual o combinada con FB</w:t>
      </w:r>
      <w:r w:rsidR="002D6FF6" w:rsidRPr="00090458">
        <w:rPr>
          <w:vertAlign w:val="subscript"/>
        </w:rPr>
        <w:t>1</w:t>
      </w:r>
      <w:r w:rsidR="002D6FF6">
        <w:t xml:space="preserve">, alteran la diferenciación y funcionalidad de dichas células, en ambos casos por mecanismos dependientes de </w:t>
      </w:r>
      <w:proofErr w:type="spellStart"/>
      <w:r w:rsidR="002D6FF6">
        <w:t>Ahr</w:t>
      </w:r>
      <w:proofErr w:type="spellEnd"/>
      <w:r w:rsidR="002D6FF6">
        <w:t>, mientras que este receptor</w:t>
      </w:r>
      <w:r w:rsidR="00200E3D">
        <w:t>,</w:t>
      </w:r>
      <w:r w:rsidR="002D6FF6">
        <w:t xml:space="preserve"> no participa en los mecanismos </w:t>
      </w:r>
      <w:proofErr w:type="spellStart"/>
      <w:r w:rsidR="002D6FF6">
        <w:t>inmunotóxicos</w:t>
      </w:r>
      <w:proofErr w:type="spellEnd"/>
      <w:r w:rsidR="002D6FF6">
        <w:t xml:space="preserve"> inducidos por FB</w:t>
      </w:r>
      <w:r w:rsidR="002D6FF6" w:rsidRPr="00090458">
        <w:rPr>
          <w:vertAlign w:val="subscript"/>
        </w:rPr>
        <w:t>1</w:t>
      </w:r>
      <w:r w:rsidR="002D6FF6">
        <w:t xml:space="preserve"> individual.</w:t>
      </w:r>
    </w:p>
    <w:p w14:paraId="4D3A7E71" w14:textId="77777777" w:rsidR="00D12063" w:rsidRDefault="00D12063" w:rsidP="00D12063">
      <w:pPr>
        <w:pStyle w:val="Normal2"/>
        <w:spacing w:after="0" w:line="240" w:lineRule="auto"/>
        <w:rPr>
          <w:lang w:eastAsia="en-US"/>
        </w:rPr>
      </w:pPr>
    </w:p>
    <w:p w14:paraId="58119316" w14:textId="77777777" w:rsidR="00C9405B" w:rsidRPr="00515F7C" w:rsidRDefault="00574F29" w:rsidP="00D12063">
      <w:pPr>
        <w:pStyle w:val="Normal2"/>
        <w:spacing w:after="0" w:line="240" w:lineRule="auto"/>
        <w:rPr>
          <w:lang w:eastAsia="en-US"/>
        </w:rPr>
      </w:pPr>
      <w:r>
        <w:rPr>
          <w:lang w:eastAsia="en-US"/>
        </w:rPr>
        <w:t>Este trabajo fue f</w:t>
      </w:r>
      <w:r w:rsidR="00C9405B" w:rsidRPr="00C9405B">
        <w:rPr>
          <w:lang w:eastAsia="en-US"/>
        </w:rPr>
        <w:t>inanci</w:t>
      </w:r>
      <w:r>
        <w:rPr>
          <w:lang w:eastAsia="en-US"/>
        </w:rPr>
        <w:t xml:space="preserve">ado </w:t>
      </w:r>
      <w:r w:rsidR="00515F7C">
        <w:rPr>
          <w:lang w:eastAsia="en-US"/>
        </w:rPr>
        <w:t>por</w:t>
      </w:r>
      <w:r w:rsidR="00C9405B" w:rsidRPr="00C9405B">
        <w:rPr>
          <w:lang w:eastAsia="en-US"/>
        </w:rPr>
        <w:t xml:space="preserve"> </w:t>
      </w:r>
      <w:proofErr w:type="spellStart"/>
      <w:r w:rsidR="00C9405B" w:rsidRPr="00C9405B">
        <w:rPr>
          <w:lang w:eastAsia="en-US"/>
        </w:rPr>
        <w:t>MinCyT</w:t>
      </w:r>
      <w:proofErr w:type="spellEnd"/>
      <w:r w:rsidR="00515F7C">
        <w:rPr>
          <w:lang w:eastAsia="en-US"/>
        </w:rPr>
        <w:t>-</w:t>
      </w:r>
      <w:r w:rsidR="00C9405B" w:rsidRPr="00C9405B">
        <w:rPr>
          <w:lang w:eastAsia="en-US"/>
        </w:rPr>
        <w:t>Córdoba</w:t>
      </w:r>
      <w:r w:rsidR="0024395F">
        <w:rPr>
          <w:lang w:eastAsia="en-US"/>
        </w:rPr>
        <w:t xml:space="preserve"> </w:t>
      </w:r>
      <w:r w:rsidR="00515F7C">
        <w:rPr>
          <w:lang w:eastAsia="en-US"/>
        </w:rPr>
        <w:t>(</w:t>
      </w:r>
      <w:r w:rsidR="00C9405B" w:rsidRPr="00C9405B">
        <w:rPr>
          <w:lang w:eastAsia="en-US"/>
        </w:rPr>
        <w:t xml:space="preserve">PE </w:t>
      </w:r>
      <w:proofErr w:type="gramStart"/>
      <w:r w:rsidR="00C9405B" w:rsidRPr="00C9405B">
        <w:rPr>
          <w:lang w:eastAsia="en-US"/>
        </w:rPr>
        <w:t>2019,</w:t>
      </w:r>
      <w:r w:rsidR="00C9405B" w:rsidRPr="00FC48F0">
        <w:t>GRFT</w:t>
      </w:r>
      <w:proofErr w:type="gramEnd"/>
      <w:r w:rsidR="00C9405B" w:rsidRPr="00FC48F0">
        <w:t xml:space="preserve"> </w:t>
      </w:r>
      <w:r w:rsidR="00515F7C">
        <w:t xml:space="preserve">2019, </w:t>
      </w:r>
      <w:r w:rsidR="00C9405B">
        <w:t>y PID2018</w:t>
      </w:r>
      <w:r w:rsidR="00515F7C">
        <w:t>),</w:t>
      </w:r>
      <w:r w:rsidR="0024395F">
        <w:t xml:space="preserve"> </w:t>
      </w:r>
      <w:proofErr w:type="spellStart"/>
      <w:r w:rsidR="00993F3A" w:rsidRPr="00993F3A">
        <w:rPr>
          <w:lang w:eastAsia="en-US"/>
        </w:rPr>
        <w:t>ANPCyT-FONCyT</w:t>
      </w:r>
      <w:proofErr w:type="spellEnd"/>
      <w:r w:rsidR="0024395F">
        <w:rPr>
          <w:lang w:eastAsia="en-US"/>
        </w:rPr>
        <w:t xml:space="preserve"> </w:t>
      </w:r>
      <w:r w:rsidR="00515F7C">
        <w:rPr>
          <w:lang w:eastAsia="en-US"/>
        </w:rPr>
        <w:t>(</w:t>
      </w:r>
      <w:r w:rsidR="00993F3A" w:rsidRPr="00993F3A">
        <w:rPr>
          <w:lang w:eastAsia="en-US"/>
        </w:rPr>
        <w:t>PICT 2019-04329, PICT-2021-CAT-I-00192, y PICT-2020-SERIEA-03880</w:t>
      </w:r>
      <w:r w:rsidR="00515F7C">
        <w:rPr>
          <w:lang w:eastAsia="en-US"/>
        </w:rPr>
        <w:t xml:space="preserve">), </w:t>
      </w:r>
      <w:proofErr w:type="spellStart"/>
      <w:r w:rsidR="00993F3A" w:rsidRPr="00993F3A">
        <w:rPr>
          <w:lang w:eastAsia="en-US"/>
        </w:rPr>
        <w:t>SeCyT</w:t>
      </w:r>
      <w:proofErr w:type="spellEnd"/>
      <w:r w:rsidR="00993F3A" w:rsidRPr="00993F3A">
        <w:rPr>
          <w:lang w:eastAsia="en-US"/>
        </w:rPr>
        <w:t>-UNC</w:t>
      </w:r>
      <w:r w:rsidR="0024395F">
        <w:rPr>
          <w:lang w:eastAsia="en-US"/>
        </w:rPr>
        <w:t xml:space="preserve"> </w:t>
      </w:r>
      <w:r w:rsidR="00515F7C">
        <w:rPr>
          <w:lang w:eastAsia="en-US"/>
        </w:rPr>
        <w:t>(</w:t>
      </w:r>
      <w:r w:rsidR="00993F3A" w:rsidRPr="00993F3A">
        <w:rPr>
          <w:lang w:eastAsia="en-US"/>
        </w:rPr>
        <w:t>Proyectos Consolidar 2018-2022</w:t>
      </w:r>
      <w:r w:rsidR="00515F7C">
        <w:rPr>
          <w:lang w:eastAsia="en-US"/>
        </w:rPr>
        <w:t xml:space="preserve">), y </w:t>
      </w:r>
      <w:r w:rsidR="0077357E" w:rsidRPr="00082AC6">
        <w:rPr>
          <w:lang w:eastAsia="en-US"/>
        </w:rPr>
        <w:t>CONICET</w:t>
      </w:r>
      <w:r w:rsidR="0077357E">
        <w:rPr>
          <w:lang w:eastAsia="en-US"/>
        </w:rPr>
        <w:t xml:space="preserve"> (</w:t>
      </w:r>
      <w:r w:rsidR="00993F3A" w:rsidRPr="00993F3A">
        <w:rPr>
          <w:lang w:eastAsia="en-US"/>
        </w:rPr>
        <w:t xml:space="preserve">PIP </w:t>
      </w:r>
      <w:r w:rsidR="006F2B74">
        <w:rPr>
          <w:lang w:eastAsia="en-US"/>
        </w:rPr>
        <w:t>2021-2023</w:t>
      </w:r>
      <w:r w:rsidR="006F2B74" w:rsidRPr="006F2B74">
        <w:rPr>
          <w:lang w:eastAsia="en-US"/>
        </w:rPr>
        <w:t>11220200102478CO</w:t>
      </w:r>
      <w:r w:rsidR="006F2B74">
        <w:rPr>
          <w:lang w:eastAsia="en-US"/>
        </w:rPr>
        <w:t>)</w:t>
      </w:r>
      <w:r w:rsidR="00993F3A" w:rsidRPr="00993F3A">
        <w:rPr>
          <w:lang w:eastAsia="en-US"/>
        </w:rPr>
        <w:t>.</w:t>
      </w:r>
    </w:p>
    <w:p w14:paraId="35448B42" w14:textId="77777777" w:rsidR="00D12063" w:rsidRPr="00515F7C" w:rsidRDefault="00D12063" w:rsidP="00D12063">
      <w:pPr>
        <w:pStyle w:val="Normal2"/>
        <w:spacing w:after="0" w:line="240" w:lineRule="auto"/>
        <w:rPr>
          <w:lang w:eastAsia="en-US"/>
        </w:rPr>
      </w:pPr>
    </w:p>
    <w:p w14:paraId="219F3BC5" w14:textId="77777777" w:rsidR="00C9405B" w:rsidRPr="004947D5" w:rsidRDefault="00C9405B" w:rsidP="004947D5">
      <w:pPr>
        <w:ind w:left="0"/>
        <w:jc w:val="both"/>
        <w:rPr>
          <w:rStyle w:val="Ttulo1Car"/>
          <w:rFonts w:eastAsiaTheme="minorHAnsi"/>
          <w:color w:val="000000" w:themeColor="text1"/>
          <w:sz w:val="22"/>
          <w:szCs w:val="22"/>
        </w:rPr>
      </w:pPr>
      <w:r w:rsidRPr="004947D5">
        <w:rPr>
          <w:b w:val="0"/>
        </w:rPr>
        <w:t>Palabras Clave:</w:t>
      </w:r>
      <w:r w:rsidR="00793A78" w:rsidRPr="004947D5">
        <w:rPr>
          <w:b w:val="0"/>
        </w:rPr>
        <w:t xml:space="preserve"> Micotoxinas,</w:t>
      </w:r>
      <w:r w:rsidR="0024395F" w:rsidRPr="004947D5">
        <w:rPr>
          <w:b w:val="0"/>
        </w:rPr>
        <w:t xml:space="preserve"> </w:t>
      </w:r>
      <w:r w:rsidRPr="004947D5">
        <w:rPr>
          <w:b w:val="0"/>
        </w:rPr>
        <w:t xml:space="preserve">Mezclas, </w:t>
      </w:r>
      <w:proofErr w:type="spellStart"/>
      <w:r w:rsidRPr="004947D5">
        <w:rPr>
          <w:b w:val="0"/>
        </w:rPr>
        <w:t>Inmunotoxic</w:t>
      </w:r>
      <w:r w:rsidR="009352CC" w:rsidRPr="004947D5">
        <w:rPr>
          <w:b w:val="0"/>
        </w:rPr>
        <w:t>ología</w:t>
      </w:r>
      <w:proofErr w:type="spellEnd"/>
      <w:r w:rsidR="009352CC" w:rsidRPr="004947D5">
        <w:rPr>
          <w:b w:val="0"/>
        </w:rPr>
        <w:t>,</w:t>
      </w:r>
      <w:r w:rsidRPr="004947D5">
        <w:rPr>
          <w:b w:val="0"/>
        </w:rPr>
        <w:t xml:space="preserve"> Células Th17.</w:t>
      </w:r>
    </w:p>
    <w:p w14:paraId="74C4B168" w14:textId="77777777" w:rsidR="00274311" w:rsidRPr="004947D5" w:rsidRDefault="00274311" w:rsidP="00A266CF">
      <w:pPr>
        <w:pStyle w:val="Normal2"/>
        <w:spacing w:after="0" w:line="240" w:lineRule="auto"/>
      </w:pPr>
    </w:p>
    <w:p w14:paraId="38D6CF81" w14:textId="77777777" w:rsidR="00781D42" w:rsidRDefault="00781D42" w:rsidP="00A266CF">
      <w:pPr>
        <w:pStyle w:val="Normal2"/>
        <w:spacing w:after="0" w:line="240" w:lineRule="auto"/>
      </w:pPr>
    </w:p>
    <w:p w14:paraId="23E350EC" w14:textId="77777777" w:rsidR="00781D42" w:rsidRDefault="00781D42" w:rsidP="00A266CF">
      <w:pPr>
        <w:pStyle w:val="Normal2"/>
        <w:spacing w:after="0" w:line="240" w:lineRule="auto"/>
      </w:pPr>
    </w:p>
    <w:p w14:paraId="62A42508" w14:textId="77777777" w:rsidR="00781D42" w:rsidRDefault="00781D42" w:rsidP="002D6FF6">
      <w:pPr>
        <w:pStyle w:val="Normal2"/>
        <w:spacing w:after="0" w:line="240" w:lineRule="auto"/>
      </w:pPr>
    </w:p>
    <w:sectPr w:rsidR="00781D42" w:rsidSect="00447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EE78" w14:textId="77777777" w:rsidR="00A62F9A" w:rsidRDefault="00A62F9A" w:rsidP="00781D42">
      <w:pPr>
        <w:ind w:left="0"/>
      </w:pPr>
      <w:r>
        <w:separator/>
      </w:r>
    </w:p>
  </w:endnote>
  <w:endnote w:type="continuationSeparator" w:id="0">
    <w:p w14:paraId="386E2A34" w14:textId="77777777" w:rsidR="00A62F9A" w:rsidRDefault="00A62F9A" w:rsidP="00781D42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80E0" w14:textId="77777777" w:rsidR="00781D42" w:rsidRDefault="00781D42" w:rsidP="00781D42">
    <w:pPr>
      <w:pStyle w:val="Piedepgin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B52C" w14:textId="77777777" w:rsidR="00781D42" w:rsidRDefault="00781D42" w:rsidP="00781D42">
    <w:pPr>
      <w:pStyle w:val="Piedep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977E" w14:textId="77777777" w:rsidR="00781D42" w:rsidRDefault="00781D42" w:rsidP="00781D4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8EEE" w14:textId="77777777" w:rsidR="00A62F9A" w:rsidRDefault="00A62F9A" w:rsidP="00781D42">
      <w:pPr>
        <w:ind w:left="0"/>
      </w:pPr>
      <w:r>
        <w:separator/>
      </w:r>
    </w:p>
  </w:footnote>
  <w:footnote w:type="continuationSeparator" w:id="0">
    <w:p w14:paraId="1E757AD7" w14:textId="77777777" w:rsidR="00A62F9A" w:rsidRDefault="00A62F9A" w:rsidP="00781D42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131" w14:textId="77777777" w:rsidR="00781D42" w:rsidRDefault="00781D42" w:rsidP="00781D42">
    <w:pPr>
      <w:pStyle w:val="Encabezad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D693" w14:textId="77777777" w:rsidR="00447CAE" w:rsidRDefault="0071624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6A2F030" wp14:editId="73E5302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839F" w14:textId="77777777" w:rsidR="00781D42" w:rsidRDefault="00781D42" w:rsidP="00781D42">
    <w:pPr>
      <w:pStyle w:val="Encabezado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AE"/>
    <w:rsid w:val="00010CFC"/>
    <w:rsid w:val="00012ECB"/>
    <w:rsid w:val="00090458"/>
    <w:rsid w:val="0010644F"/>
    <w:rsid w:val="001617D7"/>
    <w:rsid w:val="001929D4"/>
    <w:rsid w:val="001A41B3"/>
    <w:rsid w:val="001F79B3"/>
    <w:rsid w:val="00200E3D"/>
    <w:rsid w:val="0024395F"/>
    <w:rsid w:val="00274311"/>
    <w:rsid w:val="002D6FF6"/>
    <w:rsid w:val="00312056"/>
    <w:rsid w:val="00335FCD"/>
    <w:rsid w:val="003B323C"/>
    <w:rsid w:val="004121F1"/>
    <w:rsid w:val="00437906"/>
    <w:rsid w:val="00447CAE"/>
    <w:rsid w:val="00452DCA"/>
    <w:rsid w:val="004947D5"/>
    <w:rsid w:val="004C7A1B"/>
    <w:rsid w:val="004F4D84"/>
    <w:rsid w:val="00515F7C"/>
    <w:rsid w:val="00574F29"/>
    <w:rsid w:val="005A5679"/>
    <w:rsid w:val="005B3CF7"/>
    <w:rsid w:val="006F235A"/>
    <w:rsid w:val="006F2B74"/>
    <w:rsid w:val="00716249"/>
    <w:rsid w:val="00740BB8"/>
    <w:rsid w:val="00762932"/>
    <w:rsid w:val="0077357E"/>
    <w:rsid w:val="00781D42"/>
    <w:rsid w:val="00793A78"/>
    <w:rsid w:val="007B569E"/>
    <w:rsid w:val="008339FF"/>
    <w:rsid w:val="00894BAF"/>
    <w:rsid w:val="008C1F45"/>
    <w:rsid w:val="009352CC"/>
    <w:rsid w:val="0094416C"/>
    <w:rsid w:val="00993F3A"/>
    <w:rsid w:val="00A01C34"/>
    <w:rsid w:val="00A266CF"/>
    <w:rsid w:val="00A534CD"/>
    <w:rsid w:val="00A62F9A"/>
    <w:rsid w:val="00A777F4"/>
    <w:rsid w:val="00C52DCD"/>
    <w:rsid w:val="00C85AFB"/>
    <w:rsid w:val="00C9405B"/>
    <w:rsid w:val="00C9458E"/>
    <w:rsid w:val="00D12063"/>
    <w:rsid w:val="00D1767E"/>
    <w:rsid w:val="00D34380"/>
    <w:rsid w:val="00D56BCD"/>
    <w:rsid w:val="00DC1E09"/>
    <w:rsid w:val="00DC1E2E"/>
    <w:rsid w:val="00DD6FCA"/>
    <w:rsid w:val="00DE1D76"/>
    <w:rsid w:val="00E0605F"/>
    <w:rsid w:val="00E43978"/>
    <w:rsid w:val="00E73436"/>
    <w:rsid w:val="00F54183"/>
    <w:rsid w:val="00FA2FDE"/>
    <w:rsid w:val="00FC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AF3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781D42"/>
    <w:pPr>
      <w:suppressAutoHyphens/>
      <w:spacing w:after="0" w:line="240" w:lineRule="auto"/>
      <w:ind w:leftChars="-1" w:left="-1" w:hangingChars="1" w:hanging="2"/>
      <w:jc w:val="center"/>
      <w:textDirection w:val="btLr"/>
      <w:textAlignment w:val="top"/>
      <w:outlineLvl w:val="0"/>
    </w:pPr>
    <w:rPr>
      <w:b/>
      <w:position w:val="-1"/>
      <w:lang w:val="es-ES" w:eastAsia="es-ES"/>
    </w:rPr>
  </w:style>
  <w:style w:type="paragraph" w:styleId="Ttulo1">
    <w:name w:val="heading 1"/>
    <w:basedOn w:val="Normal"/>
    <w:next w:val="Normal"/>
    <w:autoRedefine/>
    <w:hidden/>
    <w:qFormat/>
    <w:rsid w:val="00447CAE"/>
    <w:rPr>
      <w:rFonts w:cs="Times New Roman"/>
    </w:rPr>
  </w:style>
  <w:style w:type="paragraph" w:styleId="Ttulo2">
    <w:name w:val="heading 2"/>
    <w:basedOn w:val="Normal"/>
    <w:next w:val="Normal"/>
    <w:autoRedefine/>
    <w:hidden/>
    <w:qFormat/>
    <w:rsid w:val="00447CAE"/>
    <w:pPr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447CAE"/>
    <w:pPr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447C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447C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447C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7CAE"/>
  </w:style>
  <w:style w:type="table" w:customStyle="1" w:styleId="TableNormal">
    <w:name w:val="Table Normal"/>
    <w:rsid w:val="00447C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447C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47CAE"/>
  </w:style>
  <w:style w:type="table" w:customStyle="1" w:styleId="TableNormal0">
    <w:name w:val="Table Normal"/>
    <w:rsid w:val="00447C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7C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uiPriority w:val="9"/>
    <w:qFormat/>
    <w:rsid w:val="00447CA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7C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7C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7CAE"/>
    <w:rPr>
      <w:rFonts w:cs="Times New Roman"/>
    </w:rPr>
  </w:style>
  <w:style w:type="character" w:customStyle="1" w:styleId="EncabezadoCar">
    <w:name w:val="Encabezado Car"/>
    <w:autoRedefine/>
    <w:hidden/>
    <w:qFormat/>
    <w:rsid w:val="00447C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7CAE"/>
    <w:rPr>
      <w:rFonts w:cs="Times New Roman"/>
    </w:rPr>
  </w:style>
  <w:style w:type="character" w:customStyle="1" w:styleId="PiedepginaCar">
    <w:name w:val="Pie de página Car"/>
    <w:autoRedefine/>
    <w:hidden/>
    <w:qFormat/>
    <w:rsid w:val="00447C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7CA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7CAE"/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7CA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447C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lqj4b">
    <w:name w:val="jlqj4b"/>
    <w:basedOn w:val="Fuentedeprrafopredeter"/>
    <w:rsid w:val="00012ECB"/>
  </w:style>
  <w:style w:type="character" w:styleId="Refdecomentario">
    <w:name w:val="annotation reference"/>
    <w:basedOn w:val="Fuentedeprrafopredeter"/>
    <w:uiPriority w:val="99"/>
    <w:semiHidden/>
    <w:unhideWhenUsed/>
    <w:rsid w:val="00FC37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743"/>
    <w:pPr>
      <w:suppressAutoHyphens w:val="0"/>
      <w:spacing w:after="160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74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C1F45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F45"/>
    <w:pPr>
      <w:suppressAutoHyphens/>
      <w:spacing w:after="0"/>
      <w:ind w:leftChars="-1" w:left="-1" w:hangingChars="1" w:hanging="2"/>
      <w:jc w:val="center"/>
      <w:textDirection w:val="btLr"/>
      <w:textAlignment w:val="top"/>
      <w:outlineLvl w:val="0"/>
    </w:pPr>
    <w:rPr>
      <w:rFonts w:ascii="Arial" w:eastAsia="Arial" w:hAnsi="Arial" w:cs="Arial"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F45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5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2022-08-16T11:32:00Z</dcterms:created>
  <dcterms:modified xsi:type="dcterms:W3CDTF">2022-08-16T11:32:00Z</dcterms:modified>
</cp:coreProperties>
</file>