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31DA" w14:textId="333DF678" w:rsidR="002A7A57" w:rsidRDefault="002A7A57" w:rsidP="003C6B96">
      <w:pPr>
        <w:pStyle w:val="NormalWeb"/>
        <w:spacing w:before="0" w:beforeAutospacing="0" w:after="0" w:afterAutospacing="0"/>
        <w:jc w:val="center"/>
      </w:pPr>
      <w:r>
        <w:rPr>
          <w:rFonts w:ascii="Arial" w:hAnsi="Arial" w:cs="Arial"/>
          <w:b/>
          <w:bCs/>
          <w:color w:val="000000"/>
        </w:rPr>
        <w:t>Estabilidad</w:t>
      </w:r>
      <w:r w:rsidR="003C6B96">
        <w:rPr>
          <w:rFonts w:ascii="Arial" w:hAnsi="Arial" w:cs="Arial"/>
          <w:b/>
          <w:bCs/>
          <w:color w:val="000000"/>
        </w:rPr>
        <w:t xml:space="preserve"> </w:t>
      </w:r>
      <w:r>
        <w:rPr>
          <w:rFonts w:ascii="Arial" w:hAnsi="Arial" w:cs="Arial"/>
          <w:b/>
          <w:bCs/>
          <w:color w:val="000000"/>
        </w:rPr>
        <w:t xml:space="preserve">de la capacidad antimicrobiana del aceite esencial de </w:t>
      </w:r>
      <w:proofErr w:type="spellStart"/>
      <w:r>
        <w:rPr>
          <w:rFonts w:ascii="Arial" w:hAnsi="Arial" w:cs="Arial"/>
          <w:b/>
          <w:bCs/>
          <w:i/>
          <w:iCs/>
          <w:color w:val="000000"/>
        </w:rPr>
        <w:t>Origanum</w:t>
      </w:r>
      <w:proofErr w:type="spellEnd"/>
      <w:r>
        <w:rPr>
          <w:rFonts w:ascii="Arial" w:hAnsi="Arial" w:cs="Arial"/>
          <w:b/>
          <w:bCs/>
          <w:i/>
          <w:iCs/>
          <w:color w:val="000000"/>
        </w:rPr>
        <w:t xml:space="preserve"> </w:t>
      </w:r>
      <w:proofErr w:type="spellStart"/>
      <w:r>
        <w:rPr>
          <w:rFonts w:ascii="Arial" w:hAnsi="Arial" w:cs="Arial"/>
          <w:b/>
          <w:bCs/>
          <w:i/>
          <w:iCs/>
          <w:color w:val="000000"/>
        </w:rPr>
        <w:t>vulgare</w:t>
      </w:r>
      <w:proofErr w:type="spellEnd"/>
      <w:r>
        <w:rPr>
          <w:rFonts w:ascii="Arial" w:hAnsi="Arial" w:cs="Arial"/>
          <w:b/>
          <w:bCs/>
          <w:i/>
          <w:iCs/>
          <w:color w:val="000000"/>
        </w:rPr>
        <w:t xml:space="preserve"> </w:t>
      </w:r>
      <w:proofErr w:type="spellStart"/>
      <w:r>
        <w:rPr>
          <w:rFonts w:ascii="Arial" w:hAnsi="Arial" w:cs="Arial"/>
          <w:b/>
          <w:bCs/>
          <w:i/>
          <w:iCs/>
          <w:color w:val="000000"/>
        </w:rPr>
        <w:t>spp</w:t>
      </w:r>
      <w:proofErr w:type="spellEnd"/>
      <w:r>
        <w:rPr>
          <w:rFonts w:ascii="Arial" w:hAnsi="Arial" w:cs="Arial"/>
          <w:b/>
          <w:bCs/>
          <w:i/>
          <w:iCs/>
          <w:color w:val="000000"/>
        </w:rPr>
        <w:t xml:space="preserve"> </w:t>
      </w:r>
      <w:proofErr w:type="spellStart"/>
      <w:r>
        <w:rPr>
          <w:rFonts w:ascii="Arial" w:hAnsi="Arial" w:cs="Arial"/>
          <w:b/>
          <w:bCs/>
          <w:i/>
          <w:iCs/>
          <w:color w:val="000000"/>
        </w:rPr>
        <w:t>hirtum</w:t>
      </w:r>
      <w:proofErr w:type="spellEnd"/>
      <w:r>
        <w:rPr>
          <w:rFonts w:ascii="Arial" w:hAnsi="Arial" w:cs="Arial"/>
          <w:b/>
          <w:bCs/>
          <w:i/>
          <w:iCs/>
          <w:color w:val="000000"/>
        </w:rPr>
        <w:t>.</w:t>
      </w:r>
    </w:p>
    <w:p w14:paraId="7D7F47B4" w14:textId="77777777" w:rsidR="00E1727A" w:rsidRDefault="00E1727A" w:rsidP="003C6B96">
      <w:pPr>
        <w:spacing w:after="0" w:line="240" w:lineRule="auto"/>
        <w:ind w:left="0" w:hanging="2"/>
        <w:jc w:val="center"/>
      </w:pPr>
    </w:p>
    <w:p w14:paraId="16EECEC9" w14:textId="2B0ADF63" w:rsidR="00E1727A" w:rsidRDefault="002A7A57" w:rsidP="003C6B96">
      <w:pPr>
        <w:spacing w:after="0" w:line="240" w:lineRule="auto"/>
        <w:ind w:left="0" w:hanging="2"/>
        <w:jc w:val="center"/>
      </w:pPr>
      <w:r>
        <w:t xml:space="preserve">Graziano LA </w:t>
      </w:r>
      <w:r w:rsidR="00D6514D">
        <w:t xml:space="preserve">(1), </w:t>
      </w:r>
      <w:r>
        <w:t>Escalante NG</w:t>
      </w:r>
      <w:r w:rsidR="00D6514D">
        <w:t xml:space="preserve"> (</w:t>
      </w:r>
      <w:r>
        <w:t>1,</w:t>
      </w:r>
      <w:r w:rsidR="00D6514D">
        <w:t>2)</w:t>
      </w:r>
      <w:r>
        <w:t xml:space="preserve">, </w:t>
      </w:r>
      <w:proofErr w:type="spellStart"/>
      <w:r>
        <w:t>Dublan</w:t>
      </w:r>
      <w:proofErr w:type="spellEnd"/>
      <w:r>
        <w:t xml:space="preserve"> MA (1,2), </w:t>
      </w:r>
      <w:proofErr w:type="spellStart"/>
      <w:r>
        <w:t>Ottonello</w:t>
      </w:r>
      <w:proofErr w:type="spellEnd"/>
      <w:r>
        <w:t xml:space="preserve"> LC (1,2)</w:t>
      </w:r>
    </w:p>
    <w:p w14:paraId="627FBB60" w14:textId="77777777" w:rsidR="00E1727A" w:rsidRDefault="00E1727A">
      <w:pPr>
        <w:spacing w:after="0" w:line="240" w:lineRule="auto"/>
        <w:ind w:left="0" w:hanging="2"/>
        <w:jc w:val="center"/>
      </w:pPr>
    </w:p>
    <w:p w14:paraId="32CDEDEF" w14:textId="2B24CCBB" w:rsidR="002A7A57" w:rsidRDefault="003C6B96" w:rsidP="003C6B96">
      <w:pPr>
        <w:pStyle w:val="NormalWeb"/>
        <w:spacing w:before="0" w:beforeAutospacing="0" w:after="120" w:afterAutospacing="0"/>
        <w:textAlignment w:val="baseline"/>
        <w:rPr>
          <w:rFonts w:ascii="Arial" w:hAnsi="Arial" w:cs="Arial"/>
          <w:color w:val="000000"/>
        </w:rPr>
      </w:pPr>
      <w:r>
        <w:rPr>
          <w:rFonts w:ascii="Arial" w:hAnsi="Arial" w:cs="Arial"/>
          <w:color w:val="000000"/>
        </w:rPr>
        <w:t xml:space="preserve">(1) </w:t>
      </w:r>
      <w:r w:rsidR="002A7A57">
        <w:rPr>
          <w:rFonts w:ascii="Arial" w:hAnsi="Arial" w:cs="Arial"/>
          <w:color w:val="000000"/>
        </w:rPr>
        <w:t>Facultad de Agronomía, Universidad Nacional del Centro de la Provincia de Buenos Aires (UNCPBA), Rep. De Italia 780, Azul, Buenos Aires, Argentina.</w:t>
      </w:r>
    </w:p>
    <w:p w14:paraId="6F34966B" w14:textId="0C536D86" w:rsidR="002A7A57" w:rsidRDefault="003C6B96" w:rsidP="003C6B96">
      <w:pPr>
        <w:pStyle w:val="NormalWeb"/>
        <w:spacing w:before="0" w:beforeAutospacing="0" w:after="200" w:afterAutospacing="0"/>
        <w:textAlignment w:val="baseline"/>
        <w:rPr>
          <w:rFonts w:ascii="Arial" w:hAnsi="Arial" w:cs="Arial"/>
          <w:color w:val="000000"/>
        </w:rPr>
      </w:pPr>
      <w:r>
        <w:rPr>
          <w:rFonts w:ascii="Arial" w:hAnsi="Arial" w:cs="Arial"/>
          <w:color w:val="000000"/>
        </w:rPr>
        <w:t xml:space="preserve">(2) </w:t>
      </w:r>
      <w:r w:rsidR="002A7A57" w:rsidRPr="00F5050C">
        <w:rPr>
          <w:rFonts w:ascii="Arial" w:hAnsi="Arial" w:cs="Arial"/>
          <w:color w:val="000000"/>
        </w:rPr>
        <w:t>Grupo Calidad y Agregado de Valor a Alimentos (CAVA), Centro Regional de Estudios Sistemáticos de Cadenas Agroalimentarias (CRESCA). UNCPBA</w:t>
      </w:r>
    </w:p>
    <w:p w14:paraId="121AB12E" w14:textId="2BEB7862" w:rsidR="00E1727A" w:rsidRDefault="002A7A57">
      <w:pPr>
        <w:pBdr>
          <w:top w:val="nil"/>
          <w:left w:val="nil"/>
          <w:bottom w:val="nil"/>
          <w:right w:val="nil"/>
          <w:between w:val="nil"/>
        </w:pBdr>
        <w:tabs>
          <w:tab w:val="left" w:pos="7185"/>
        </w:tabs>
        <w:spacing w:after="0" w:line="240" w:lineRule="auto"/>
        <w:ind w:left="0" w:hanging="2"/>
        <w:jc w:val="left"/>
        <w:rPr>
          <w:color w:val="000000"/>
        </w:rPr>
      </w:pPr>
      <w:r>
        <w:rPr>
          <w:color w:val="000000"/>
        </w:rPr>
        <w:t>lottonello@azul.faa.unicen.edu.ar</w:t>
      </w:r>
    </w:p>
    <w:p w14:paraId="250BF85F" w14:textId="77777777" w:rsidR="00E1727A" w:rsidRDefault="00E1727A" w:rsidP="003C6B96">
      <w:pPr>
        <w:spacing w:after="0" w:line="240" w:lineRule="auto"/>
        <w:ind w:left="0" w:hanging="2"/>
      </w:pPr>
    </w:p>
    <w:p w14:paraId="35543A50" w14:textId="1FCBEE13" w:rsidR="00BF4136" w:rsidRDefault="00BF4136" w:rsidP="003C6B96">
      <w:pPr>
        <w:pStyle w:val="NormalWeb"/>
        <w:spacing w:before="0" w:beforeAutospacing="0" w:after="0" w:afterAutospacing="0"/>
        <w:ind w:left="-1"/>
        <w:jc w:val="both"/>
      </w:pPr>
      <w:r>
        <w:rPr>
          <w:rFonts w:ascii="Arial" w:hAnsi="Arial" w:cs="Arial"/>
          <w:color w:val="000000"/>
        </w:rPr>
        <w:t xml:space="preserve">Las plantas aromáticas y medicinales constituyen </w:t>
      </w:r>
      <w:r>
        <w:rPr>
          <w:rFonts w:ascii="Arial" w:hAnsi="Arial" w:cs="Arial"/>
          <w:color w:val="000000"/>
          <w:shd w:val="clear" w:color="auto" w:fill="FFFFFF"/>
        </w:rPr>
        <w:t xml:space="preserve">un grupo vegetal de gran interés debido a la aplicación de sus aceites esenciales y extractos en farmacia, cosmética, perfumería e industria alimentaria. El </w:t>
      </w:r>
      <w:r w:rsidR="00110BE9">
        <w:rPr>
          <w:rFonts w:ascii="Arial" w:hAnsi="Arial" w:cs="Arial"/>
          <w:color w:val="000000"/>
          <w:shd w:val="clear" w:color="auto" w:fill="FFFFFF"/>
        </w:rPr>
        <w:t>a</w:t>
      </w:r>
      <w:r>
        <w:rPr>
          <w:rFonts w:ascii="Arial" w:hAnsi="Arial" w:cs="Arial"/>
          <w:color w:val="000000"/>
          <w:shd w:val="clear" w:color="auto" w:fill="FFFFFF"/>
        </w:rPr>
        <w:t xml:space="preserve">ceite </w:t>
      </w:r>
      <w:r w:rsidR="00110BE9">
        <w:rPr>
          <w:rFonts w:ascii="Arial" w:hAnsi="Arial" w:cs="Arial"/>
          <w:color w:val="000000"/>
          <w:shd w:val="clear" w:color="auto" w:fill="FFFFFF"/>
        </w:rPr>
        <w:t>e</w:t>
      </w:r>
      <w:r>
        <w:rPr>
          <w:rFonts w:ascii="Arial" w:hAnsi="Arial" w:cs="Arial"/>
          <w:color w:val="000000"/>
          <w:shd w:val="clear" w:color="auto" w:fill="FFFFFF"/>
        </w:rPr>
        <w:t xml:space="preserve">sencial (AE) de orégano se ha estudiado por sus propiedades antibacterianas y antifúngicas debido a los componentes principales como carvacrol y timol. En otras investigaciones se ha visto que las propiedades varían según las regiones donde se produzcan, el momento de cosecha, el almacenamiento, el método de destilación, el biotipo, entre otros parámetros. </w:t>
      </w:r>
      <w:r>
        <w:rPr>
          <w:rFonts w:ascii="Arial" w:hAnsi="Arial" w:cs="Arial"/>
          <w:color w:val="000000"/>
        </w:rPr>
        <w:t xml:space="preserve">El objetivo de este trabajo fue evaluar la estabilidad de las propiedades antimicrobianas del AE de </w:t>
      </w:r>
      <w:proofErr w:type="spellStart"/>
      <w:r>
        <w:rPr>
          <w:rFonts w:ascii="Arial" w:hAnsi="Arial" w:cs="Arial"/>
          <w:i/>
          <w:iCs/>
          <w:color w:val="000000"/>
        </w:rPr>
        <w:t>Origanum</w:t>
      </w:r>
      <w:proofErr w:type="spellEnd"/>
      <w:r>
        <w:rPr>
          <w:rFonts w:ascii="Arial" w:hAnsi="Arial" w:cs="Arial"/>
          <w:i/>
          <w:iCs/>
          <w:color w:val="000000"/>
        </w:rPr>
        <w:t xml:space="preserve"> </w:t>
      </w:r>
      <w:proofErr w:type="spellStart"/>
      <w:r>
        <w:rPr>
          <w:rFonts w:ascii="Arial" w:hAnsi="Arial" w:cs="Arial"/>
          <w:i/>
          <w:iCs/>
          <w:color w:val="000000"/>
        </w:rPr>
        <w:t>vulgare</w:t>
      </w:r>
      <w:proofErr w:type="spellEnd"/>
      <w:r>
        <w:rPr>
          <w:rFonts w:ascii="Arial" w:hAnsi="Arial" w:cs="Arial"/>
          <w:i/>
          <w:iCs/>
          <w:color w:val="000000"/>
        </w:rPr>
        <w:t xml:space="preserve"> </w:t>
      </w:r>
      <w:proofErr w:type="spellStart"/>
      <w:r>
        <w:rPr>
          <w:rFonts w:ascii="Arial" w:hAnsi="Arial" w:cs="Arial"/>
          <w:i/>
          <w:iCs/>
          <w:color w:val="000000"/>
        </w:rPr>
        <w:t>spp</w:t>
      </w:r>
      <w:proofErr w:type="spellEnd"/>
      <w:r>
        <w:rPr>
          <w:rFonts w:ascii="Arial" w:hAnsi="Arial" w:cs="Arial"/>
          <w:i/>
          <w:iCs/>
          <w:color w:val="000000"/>
        </w:rPr>
        <w:t xml:space="preserve"> </w:t>
      </w:r>
      <w:proofErr w:type="spellStart"/>
      <w:r>
        <w:rPr>
          <w:rFonts w:ascii="Arial" w:hAnsi="Arial" w:cs="Arial"/>
          <w:i/>
          <w:iCs/>
          <w:color w:val="000000"/>
        </w:rPr>
        <w:t>hirtum</w:t>
      </w:r>
      <w:proofErr w:type="spellEnd"/>
      <w:r>
        <w:rPr>
          <w:rFonts w:ascii="Arial" w:hAnsi="Arial" w:cs="Arial"/>
          <w:i/>
          <w:iCs/>
          <w:color w:val="000000"/>
        </w:rPr>
        <w:t xml:space="preserve"> </w:t>
      </w:r>
      <w:r>
        <w:rPr>
          <w:rFonts w:ascii="Arial" w:hAnsi="Arial" w:cs="Arial"/>
          <w:color w:val="000000"/>
        </w:rPr>
        <w:t>luego del almacenamiento</w:t>
      </w:r>
      <w:r>
        <w:rPr>
          <w:rFonts w:ascii="Arial" w:hAnsi="Arial" w:cs="Arial"/>
          <w:i/>
          <w:iCs/>
          <w:color w:val="000000"/>
        </w:rPr>
        <w:t>.</w:t>
      </w:r>
      <w:r>
        <w:rPr>
          <w:rFonts w:ascii="Arial" w:hAnsi="Arial" w:cs="Arial"/>
          <w:color w:val="000000"/>
        </w:rPr>
        <w:t xml:space="preserve"> </w:t>
      </w:r>
      <w:r>
        <w:rPr>
          <w:rFonts w:ascii="Arial" w:hAnsi="Arial" w:cs="Arial"/>
          <w:color w:val="000000"/>
          <w:shd w:val="clear" w:color="auto" w:fill="FFFFFF"/>
        </w:rPr>
        <w:t>El material vegetal estudiado corresponde a una cosecha realizada en el año 2013, a partir del cual se obtuvo el AE en el 2018 por una destilación por arrastre de vapor.</w:t>
      </w:r>
      <w:r>
        <w:rPr>
          <w:rFonts w:ascii="Arial" w:hAnsi="Arial" w:cs="Arial"/>
          <w:color w:val="000000"/>
        </w:rPr>
        <w:t xml:space="preserve"> Cabe mencionar que, el cultivo de este biotipo está adaptado agroecológicamente a la región centro-sudeste de la provincia de Buenos Aires. Se determinó la capacidad antimicrobiana frente a las cepas </w:t>
      </w:r>
      <w:r>
        <w:rPr>
          <w:rFonts w:ascii="Arial" w:hAnsi="Arial" w:cs="Arial"/>
          <w:i/>
          <w:iCs/>
          <w:color w:val="000000"/>
        </w:rPr>
        <w:t xml:space="preserve">E. </w:t>
      </w:r>
      <w:proofErr w:type="spellStart"/>
      <w:r>
        <w:rPr>
          <w:rFonts w:ascii="Arial" w:hAnsi="Arial" w:cs="Arial"/>
          <w:i/>
          <w:iCs/>
          <w:color w:val="000000"/>
        </w:rPr>
        <w:t>coli</w:t>
      </w:r>
      <w:proofErr w:type="spellEnd"/>
      <w:r>
        <w:rPr>
          <w:rFonts w:ascii="Arial" w:hAnsi="Arial" w:cs="Arial"/>
          <w:color w:val="000000"/>
        </w:rPr>
        <w:t xml:space="preserve"> y </w:t>
      </w:r>
      <w:r>
        <w:rPr>
          <w:rFonts w:ascii="Arial" w:hAnsi="Arial" w:cs="Arial"/>
          <w:i/>
          <w:iCs/>
          <w:color w:val="000000"/>
        </w:rPr>
        <w:t xml:space="preserve">S. </w:t>
      </w:r>
      <w:proofErr w:type="spellStart"/>
      <w:r>
        <w:rPr>
          <w:rFonts w:ascii="Arial" w:hAnsi="Arial" w:cs="Arial"/>
          <w:i/>
          <w:iCs/>
          <w:color w:val="000000"/>
        </w:rPr>
        <w:t>aureus</w:t>
      </w:r>
      <w:proofErr w:type="spellEnd"/>
      <w:r>
        <w:rPr>
          <w:rFonts w:ascii="Arial" w:hAnsi="Arial" w:cs="Arial"/>
          <w:color w:val="000000"/>
        </w:rPr>
        <w:t xml:space="preserve"> por el método de difusión en placa, en el AE recién obtenido y luego de cuatro años de almacenamiento. Adicionalmente, se llevó a cabo la determinación de la Concentración Inhibitoria Mínima (CIM) y la Concentración Bactericida Mínima (CBM) por el método de microdilución en caldo frente a </w:t>
      </w:r>
      <w:r>
        <w:rPr>
          <w:rFonts w:ascii="Arial" w:hAnsi="Arial" w:cs="Arial"/>
          <w:i/>
          <w:iCs/>
          <w:color w:val="000000"/>
        </w:rPr>
        <w:t xml:space="preserve">E. </w:t>
      </w:r>
      <w:proofErr w:type="spellStart"/>
      <w:r>
        <w:rPr>
          <w:rFonts w:ascii="Arial" w:hAnsi="Arial" w:cs="Arial"/>
          <w:i/>
          <w:iCs/>
          <w:color w:val="000000"/>
        </w:rPr>
        <w:t>coli</w:t>
      </w:r>
      <w:commentRangeStart w:id="0"/>
      <w:proofErr w:type="spellEnd"/>
      <w:r>
        <w:rPr>
          <w:rFonts w:ascii="Arial" w:hAnsi="Arial" w:cs="Arial"/>
          <w:color w:val="000000"/>
        </w:rPr>
        <w:t xml:space="preserve">.  La conservación del AE se llevó a cabo a temperaturas de refrigeración, empleando frascos de color caramelo con tapa a rosca. Se pudo determinar que, frente a </w:t>
      </w:r>
      <w:r>
        <w:rPr>
          <w:rFonts w:ascii="Arial" w:hAnsi="Arial" w:cs="Arial"/>
          <w:i/>
          <w:iCs/>
          <w:color w:val="000000"/>
        </w:rPr>
        <w:t xml:space="preserve">E. </w:t>
      </w:r>
      <w:proofErr w:type="spellStart"/>
      <w:r>
        <w:rPr>
          <w:rFonts w:ascii="Arial" w:hAnsi="Arial" w:cs="Arial"/>
          <w:i/>
          <w:iCs/>
          <w:color w:val="000000"/>
        </w:rPr>
        <w:t>coli</w:t>
      </w:r>
      <w:proofErr w:type="spellEnd"/>
      <w:r>
        <w:rPr>
          <w:rFonts w:ascii="Arial" w:hAnsi="Arial" w:cs="Arial"/>
          <w:color w:val="000000"/>
        </w:rPr>
        <w:t xml:space="preserve"> el AE puro ocasionó halos de inhibición de 3,5 cm en 2018, los cuales disminuyeron a 1,2 cm en 2022; mientras que, para </w:t>
      </w:r>
      <w:r>
        <w:rPr>
          <w:rFonts w:ascii="Arial" w:hAnsi="Arial" w:cs="Arial"/>
          <w:i/>
          <w:iCs/>
          <w:color w:val="000000"/>
        </w:rPr>
        <w:t xml:space="preserve">S. </w:t>
      </w:r>
      <w:proofErr w:type="spellStart"/>
      <w:r>
        <w:rPr>
          <w:rFonts w:ascii="Arial" w:hAnsi="Arial" w:cs="Arial"/>
          <w:i/>
          <w:iCs/>
          <w:color w:val="000000"/>
        </w:rPr>
        <w:t>aureus</w:t>
      </w:r>
      <w:proofErr w:type="spellEnd"/>
      <w:r>
        <w:rPr>
          <w:rFonts w:ascii="Arial" w:hAnsi="Arial" w:cs="Arial"/>
          <w:color w:val="000000"/>
        </w:rPr>
        <w:t xml:space="preserve"> el diámetro de los halos pasó de 3,8 cm a 1 cm, en el mismo período de tiempo. Sin embargo, cuando se determinó la CIM para </w:t>
      </w:r>
      <w:r>
        <w:rPr>
          <w:rFonts w:ascii="Arial" w:hAnsi="Arial" w:cs="Arial"/>
          <w:i/>
          <w:iCs/>
          <w:color w:val="000000"/>
        </w:rPr>
        <w:t xml:space="preserve">E. </w:t>
      </w:r>
      <w:proofErr w:type="spellStart"/>
      <w:r>
        <w:rPr>
          <w:rFonts w:ascii="Arial" w:hAnsi="Arial" w:cs="Arial"/>
          <w:i/>
          <w:iCs/>
          <w:color w:val="000000"/>
        </w:rPr>
        <w:t>coli</w:t>
      </w:r>
      <w:proofErr w:type="spellEnd"/>
      <w:r>
        <w:rPr>
          <w:rFonts w:ascii="Arial" w:hAnsi="Arial" w:cs="Arial"/>
          <w:color w:val="000000"/>
        </w:rPr>
        <w:t xml:space="preserve"> se observó que la misma se mantuvo estable a lo largo del tiempo de almacenamiento, con valores de 1,43 y 1,71 mg AE/</w:t>
      </w:r>
      <w:proofErr w:type="spellStart"/>
      <w:r>
        <w:rPr>
          <w:rFonts w:ascii="Arial" w:hAnsi="Arial" w:cs="Arial"/>
          <w:color w:val="000000"/>
        </w:rPr>
        <w:t>mL</w:t>
      </w:r>
      <w:proofErr w:type="spellEnd"/>
      <w:r>
        <w:rPr>
          <w:rFonts w:ascii="Arial" w:hAnsi="Arial" w:cs="Arial"/>
          <w:color w:val="000000"/>
        </w:rPr>
        <w:t>, en 2018 y 2022, respectivamente. Mientras que la CBM coincidió con la CIM cuando se determinó para el AE recién destilado, este valor ascendió a 6,83 mg AE/</w:t>
      </w:r>
      <w:proofErr w:type="spellStart"/>
      <w:r>
        <w:rPr>
          <w:rFonts w:ascii="Arial" w:hAnsi="Arial" w:cs="Arial"/>
          <w:color w:val="000000"/>
        </w:rPr>
        <w:t>mL</w:t>
      </w:r>
      <w:proofErr w:type="spellEnd"/>
      <w:r>
        <w:rPr>
          <w:rFonts w:ascii="Arial" w:hAnsi="Arial" w:cs="Arial"/>
          <w:color w:val="000000"/>
        </w:rPr>
        <w:t xml:space="preserve"> luego del período de almacenamiento. </w:t>
      </w:r>
      <w:commentRangeEnd w:id="0"/>
      <w:r w:rsidR="00110BE9">
        <w:rPr>
          <w:rStyle w:val="Refdecomentario"/>
          <w:rFonts w:ascii="Arial" w:eastAsia="Arial" w:hAnsi="Arial" w:cs="Arial"/>
          <w:position w:val="-1"/>
          <w:lang w:eastAsia="en-US"/>
        </w:rPr>
        <w:commentReference w:id="0"/>
      </w:r>
      <w:r>
        <w:rPr>
          <w:rFonts w:ascii="Arial" w:hAnsi="Arial" w:cs="Arial"/>
          <w:color w:val="000000"/>
        </w:rPr>
        <w:t>En base a esto, se puede concluir que el AE de orégano criollo conservado en refrigeración mantuvo su capacidad de inhibición del crecimiento bacteriano durante el período de tiempo ensayado mientras que se redujo su capacidad bactericida, por lo que se requieren de mayores concentraciones para lograr dicho efecto.</w:t>
      </w:r>
    </w:p>
    <w:p w14:paraId="7B4DDCC3" w14:textId="77777777" w:rsidR="00BF4136" w:rsidRDefault="00BF4136" w:rsidP="00BF4136">
      <w:pPr>
        <w:pStyle w:val="NormalWeb"/>
        <w:spacing w:before="240" w:beforeAutospacing="0" w:after="240" w:afterAutospacing="0"/>
        <w:ind w:hanging="2"/>
        <w:jc w:val="both"/>
      </w:pPr>
      <w:r>
        <w:rPr>
          <w:rFonts w:ascii="Arial" w:hAnsi="Arial" w:cs="Arial"/>
          <w:color w:val="000000"/>
        </w:rPr>
        <w:t>Palabras clave: orégano criollo, microdilución, difusión</w:t>
      </w:r>
    </w:p>
    <w:p w14:paraId="1E7C33DC" w14:textId="77777777" w:rsidR="00E1727A" w:rsidRDefault="00E1727A">
      <w:pPr>
        <w:spacing w:after="0" w:line="240" w:lineRule="auto"/>
        <w:ind w:left="0" w:hanging="2"/>
      </w:pPr>
    </w:p>
    <w:sectPr w:rsidR="00E1727A">
      <w:headerReference w:type="default" r:id="rId12"/>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ópez" w:date="2022-08-19T10:12:00Z" w:initials="AL">
    <w:p w14:paraId="75670F7D" w14:textId="2279CAA0" w:rsidR="00110BE9" w:rsidRDefault="00110BE9">
      <w:pPr>
        <w:pStyle w:val="Textocomentario"/>
        <w:ind w:left="0" w:hanging="2"/>
      </w:pPr>
      <w:r>
        <w:rPr>
          <w:rStyle w:val="Refdecomentario"/>
        </w:rPr>
        <w:annotationRef/>
      </w:r>
      <w:r>
        <w:t xml:space="preserve">¿Hay alguna determinación que demuestre que la composición de los dos AE es </w:t>
      </w:r>
      <w:r w:rsidR="005C48CA">
        <w:t>similar? ¿El almacenamiento no alteró o modificó el AE y como consecuencia su actividad inhibidora?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670F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E0A8" w16cex:dateUtc="2022-08-19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70F7D" w16cid:durableId="26A9E0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A13E" w14:textId="77777777" w:rsidR="00BB1105" w:rsidRDefault="00BB1105">
      <w:pPr>
        <w:spacing w:after="0" w:line="240" w:lineRule="auto"/>
        <w:ind w:left="0" w:hanging="2"/>
      </w:pPr>
      <w:r>
        <w:separator/>
      </w:r>
    </w:p>
  </w:endnote>
  <w:endnote w:type="continuationSeparator" w:id="0">
    <w:p w14:paraId="687BC13B" w14:textId="77777777" w:rsidR="00BB1105" w:rsidRDefault="00BB110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0F6D" w14:textId="77777777" w:rsidR="00BB1105" w:rsidRDefault="00BB1105">
      <w:pPr>
        <w:spacing w:after="0" w:line="240" w:lineRule="auto"/>
        <w:ind w:left="0" w:hanging="2"/>
      </w:pPr>
      <w:r>
        <w:separator/>
      </w:r>
    </w:p>
  </w:footnote>
  <w:footnote w:type="continuationSeparator" w:id="0">
    <w:p w14:paraId="02B03727" w14:textId="77777777" w:rsidR="00BB1105" w:rsidRDefault="00BB110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367" w14:textId="77777777" w:rsidR="00E1727A" w:rsidRDefault="00D6514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1FB4F99" wp14:editId="2129440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53812"/>
    <w:multiLevelType w:val="hybridMultilevel"/>
    <w:tmpl w:val="01BE0D6E"/>
    <w:lvl w:ilvl="0" w:tplc="5A7228A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3334149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el López">
    <w15:presenceInfo w15:providerId="Windows Live" w15:userId="8b33dcdd2cee2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27A"/>
    <w:rsid w:val="00110BE9"/>
    <w:rsid w:val="002A7A57"/>
    <w:rsid w:val="003C6B96"/>
    <w:rsid w:val="005C48CA"/>
    <w:rsid w:val="00BB1105"/>
    <w:rsid w:val="00BC0A83"/>
    <w:rsid w:val="00BF4136"/>
    <w:rsid w:val="00D6514D"/>
    <w:rsid w:val="00D67000"/>
    <w:rsid w:val="00E172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6557"/>
  <w15:docId w15:val="{00E2A0D9-3D0C-4A13-9D0F-22004414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A7A57"/>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paragraph" w:styleId="Prrafodelista">
    <w:name w:val="List Paragraph"/>
    <w:basedOn w:val="Normal"/>
    <w:uiPriority w:val="34"/>
    <w:qFormat/>
    <w:rsid w:val="002A7A57"/>
    <w:pPr>
      <w:ind w:left="720"/>
      <w:contextualSpacing/>
    </w:pPr>
  </w:style>
  <w:style w:type="character" w:styleId="Refdecomentario">
    <w:name w:val="annotation reference"/>
    <w:basedOn w:val="Fuentedeprrafopredeter"/>
    <w:uiPriority w:val="99"/>
    <w:semiHidden/>
    <w:unhideWhenUsed/>
    <w:rsid w:val="00110BE9"/>
    <w:rPr>
      <w:sz w:val="16"/>
      <w:szCs w:val="16"/>
    </w:rPr>
  </w:style>
  <w:style w:type="paragraph" w:styleId="Textocomentario">
    <w:name w:val="annotation text"/>
    <w:basedOn w:val="Normal"/>
    <w:link w:val="TextocomentarioCar"/>
    <w:uiPriority w:val="99"/>
    <w:semiHidden/>
    <w:unhideWhenUsed/>
    <w:rsid w:val="00110B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0BE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10BE9"/>
    <w:rPr>
      <w:b/>
      <w:bCs/>
    </w:rPr>
  </w:style>
  <w:style w:type="character" w:customStyle="1" w:styleId="AsuntodelcomentarioCar">
    <w:name w:val="Asunto del comentario Car"/>
    <w:basedOn w:val="TextocomentarioCar"/>
    <w:link w:val="Asuntodelcomentario"/>
    <w:uiPriority w:val="99"/>
    <w:semiHidden/>
    <w:rsid w:val="00110BE9"/>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8206">
      <w:bodyDiv w:val="1"/>
      <w:marLeft w:val="0"/>
      <w:marRight w:val="0"/>
      <w:marTop w:val="0"/>
      <w:marBottom w:val="0"/>
      <w:divBdr>
        <w:top w:val="none" w:sz="0" w:space="0" w:color="auto"/>
        <w:left w:val="none" w:sz="0" w:space="0" w:color="auto"/>
        <w:bottom w:val="none" w:sz="0" w:space="0" w:color="auto"/>
        <w:right w:val="none" w:sz="0" w:space="0" w:color="auto"/>
      </w:divBdr>
    </w:div>
    <w:div w:id="501967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2022-08-19T13:14:00Z</dcterms:created>
  <dcterms:modified xsi:type="dcterms:W3CDTF">2022-08-19T13:14:00Z</dcterms:modified>
</cp:coreProperties>
</file>