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36526" w14:textId="77777777" w:rsidR="008C1B9D" w:rsidRPr="0003317C" w:rsidRDefault="004E6869" w:rsidP="0066344B">
      <w:pPr>
        <w:pBdr>
          <w:bar w:val="none" w:sz="0" w:color="auto"/>
        </w:pBdr>
        <w:suppressAutoHyphens/>
        <w:ind w:leftChars="-1" w:hangingChars="1" w:hanging="2"/>
        <w:jc w:val="center"/>
        <w:textAlignment w:val="top"/>
        <w:outlineLvl w:val="0"/>
        <w:rPr>
          <w:rFonts w:ascii="Arial" w:hAnsi="Arial" w:cs="Arial"/>
          <w:b/>
          <w:bCs/>
          <w:color w:val="000000"/>
          <w:position w:val="-1"/>
          <w:lang w:val="es-AR"/>
        </w:rPr>
      </w:pPr>
      <w:r w:rsidRPr="0003317C">
        <w:rPr>
          <w:rFonts w:ascii="Arial" w:eastAsia="Arial" w:hAnsi="Arial" w:cs="Arial"/>
          <w:b/>
          <w:bCs/>
          <w:position w:val="-1"/>
          <w:bdr w:val="none" w:sz="0" w:space="0" w:color="auto"/>
          <w:lang w:val="es-AR"/>
        </w:rPr>
        <w:t>Reducción parcial de sal y grasa en salchicha tipo Frankfurt con adición de harinas de Agaricus bisporus y Pleurotus ostreatus</w:t>
      </w:r>
    </w:p>
    <w:p w14:paraId="568FA87B" w14:textId="77777777" w:rsidR="008C1B9D" w:rsidRDefault="008C1B9D" w:rsidP="001B6A40">
      <w:pPr>
        <w:pStyle w:val="Cuerpo"/>
        <w:spacing w:after="0" w:line="240" w:lineRule="auto"/>
        <w:jc w:val="center"/>
      </w:pPr>
    </w:p>
    <w:p w14:paraId="603F60A1" w14:textId="6A09C442" w:rsidR="008C1B9D" w:rsidRDefault="004E6869">
      <w:pPr>
        <w:pStyle w:val="Cuerpo"/>
        <w:spacing w:after="0" w:line="240" w:lineRule="auto"/>
        <w:jc w:val="center"/>
      </w:pPr>
      <w:r>
        <w:rPr>
          <w:rStyle w:val="Ninguno"/>
          <w:lang w:val="fr-FR"/>
        </w:rPr>
        <w:t>Cer</w:t>
      </w:r>
      <w:r>
        <w:rPr>
          <w:rStyle w:val="Ninguno"/>
        </w:rPr>
        <w:t>ón-Guevara MI (1), Rangel-Vargas E (1), Lorenzo JM (2,3), Munekata PES (2), Pateiro M (2), Pérez-Álvarez JA (4), Fernández-López J</w:t>
      </w:r>
      <w:r w:rsidR="0082110D">
        <w:rPr>
          <w:rStyle w:val="Ninguno"/>
        </w:rPr>
        <w:t xml:space="preserve"> </w:t>
      </w:r>
      <w:r>
        <w:rPr>
          <w:rStyle w:val="Ninguno"/>
        </w:rPr>
        <w:t xml:space="preserve">(4), Campagnol PCB (5), </w:t>
      </w:r>
      <w:r>
        <w:rPr>
          <w:rStyle w:val="Ninguno"/>
          <w:lang w:val="pt-PT"/>
        </w:rPr>
        <w:t>Santos EM</w:t>
      </w:r>
      <w:r>
        <w:rPr>
          <w:rStyle w:val="Ninguno"/>
        </w:rPr>
        <w:t xml:space="preserve"> (1) </w:t>
      </w:r>
    </w:p>
    <w:p w14:paraId="7A6AFA8B" w14:textId="77777777" w:rsidR="008C1B9D" w:rsidRDefault="008C1B9D">
      <w:pPr>
        <w:pStyle w:val="Cuerpo"/>
        <w:spacing w:after="0" w:line="240" w:lineRule="auto"/>
        <w:jc w:val="center"/>
      </w:pPr>
    </w:p>
    <w:p w14:paraId="751AA293" w14:textId="77777777" w:rsidR="008C1B9D" w:rsidRDefault="004E6869">
      <w:pPr>
        <w:pStyle w:val="Cuerpo"/>
        <w:spacing w:after="120" w:line="240" w:lineRule="auto"/>
        <w:jc w:val="left"/>
      </w:pPr>
      <w:r>
        <w:rPr>
          <w:rStyle w:val="Ninguno"/>
        </w:rPr>
        <w:t>(1) Universidad Autónoma del Estado de Hidalgo, Área Acad</w:t>
      </w:r>
      <w:r>
        <w:rPr>
          <w:rStyle w:val="Ninguno"/>
          <w:lang w:val="fr-FR"/>
        </w:rPr>
        <w:t>é</w:t>
      </w:r>
      <w:r>
        <w:rPr>
          <w:rStyle w:val="Ninguno"/>
          <w:lang w:val="pt-PT"/>
        </w:rPr>
        <w:t>mica de Qu</w:t>
      </w:r>
      <w:r>
        <w:rPr>
          <w:rStyle w:val="Ninguno"/>
        </w:rPr>
        <w:t>ímica, Crta. Pachuca-Tulancingo Km 4.5 s/n, Col. Carboneras, Mineral de la Reforma, HID 42183, M</w:t>
      </w:r>
      <w:r>
        <w:rPr>
          <w:rStyle w:val="Ninguno"/>
          <w:lang w:val="fr-FR"/>
        </w:rPr>
        <w:t>é</w:t>
      </w:r>
      <w:r>
        <w:rPr>
          <w:rStyle w:val="Ninguno"/>
          <w:lang w:val="pt-PT"/>
        </w:rPr>
        <w:t>xico.</w:t>
      </w:r>
    </w:p>
    <w:p w14:paraId="19DBD9D1" w14:textId="77777777" w:rsidR="008C1B9D" w:rsidRDefault="004E6869">
      <w:pPr>
        <w:pStyle w:val="Cuerpo"/>
        <w:spacing w:line="240" w:lineRule="auto"/>
        <w:jc w:val="left"/>
        <w:rPr>
          <w:rStyle w:val="Ninguno"/>
        </w:rPr>
      </w:pPr>
      <w:r>
        <w:rPr>
          <w:rStyle w:val="Ninguno"/>
          <w:lang w:val="it-IT"/>
        </w:rPr>
        <w:t>(2) Centro Tecnol</w:t>
      </w:r>
      <w:r>
        <w:rPr>
          <w:rStyle w:val="Ninguno"/>
        </w:rPr>
        <w:t>ógico de la Carne, Rú</w:t>
      </w:r>
      <w:r>
        <w:rPr>
          <w:rStyle w:val="Ninguno"/>
          <w:lang w:val="pt-PT"/>
        </w:rPr>
        <w:t>a Galicia No.4, Parque Tecnol</w:t>
      </w:r>
      <w:r>
        <w:rPr>
          <w:rStyle w:val="Ninguno"/>
        </w:rPr>
        <w:t>ó</w:t>
      </w:r>
      <w:r>
        <w:rPr>
          <w:rStyle w:val="Ninguno"/>
          <w:lang w:val="pt-PT"/>
        </w:rPr>
        <w:t>gico de Galicia, San Cibrao das Vi</w:t>
      </w:r>
      <w:r>
        <w:rPr>
          <w:rStyle w:val="Ninguno"/>
        </w:rPr>
        <w:t>ñ</w:t>
      </w:r>
      <w:r>
        <w:rPr>
          <w:rStyle w:val="Ninguno"/>
          <w:lang w:val="pt-PT"/>
        </w:rPr>
        <w:t>as, 32900 Ourense, Espa</w:t>
      </w:r>
      <w:r>
        <w:rPr>
          <w:rStyle w:val="Ninguno"/>
        </w:rPr>
        <w:t>ñ</w:t>
      </w:r>
      <w:r>
        <w:rPr>
          <w:rStyle w:val="Ninguno"/>
          <w:lang w:val="it-IT"/>
        </w:rPr>
        <w:t>a.</w:t>
      </w:r>
    </w:p>
    <w:p w14:paraId="223FD682" w14:textId="77777777" w:rsidR="008C1B9D" w:rsidRDefault="004E6869">
      <w:pPr>
        <w:pStyle w:val="Cuerpo"/>
        <w:spacing w:line="240" w:lineRule="auto"/>
        <w:jc w:val="left"/>
      </w:pPr>
      <w:r>
        <w:rPr>
          <w:rStyle w:val="Ninguno"/>
        </w:rPr>
        <w:t>(3) Á</w:t>
      </w:r>
      <w:r>
        <w:rPr>
          <w:rStyle w:val="Ninguno"/>
          <w:lang w:val="pt-PT"/>
        </w:rPr>
        <w:t>rea de Tecnolog</w:t>
      </w:r>
      <w:r>
        <w:rPr>
          <w:rStyle w:val="Ninguno"/>
        </w:rPr>
        <w:t>ía de los Alimentos, Facultad de Ciencias de Ourense, Universidad de Vigo, Ourense, 32004, Spain</w:t>
      </w:r>
      <w:r>
        <w:t xml:space="preserve"> </w:t>
      </w:r>
    </w:p>
    <w:p w14:paraId="0614F9D2" w14:textId="77777777" w:rsidR="008C1B9D" w:rsidRDefault="004E6869">
      <w:pPr>
        <w:pStyle w:val="Cuerpo"/>
        <w:spacing w:line="240" w:lineRule="auto"/>
        <w:jc w:val="left"/>
      </w:pPr>
      <w:r>
        <w:t xml:space="preserve">(4) Universidad Miguel Hernández de Elche, (CIAGRO), Alicante, Orihuela, 03312, España </w:t>
      </w:r>
    </w:p>
    <w:p w14:paraId="6DC0906E" w14:textId="77777777" w:rsidR="008C1B9D" w:rsidRDefault="004E6869">
      <w:pPr>
        <w:pStyle w:val="Cuerpo"/>
        <w:spacing w:line="240" w:lineRule="auto"/>
        <w:jc w:val="left"/>
      </w:pPr>
      <w:r>
        <w:t xml:space="preserve">(5) </w:t>
      </w:r>
      <w:r>
        <w:rPr>
          <w:lang w:val="pt-PT"/>
        </w:rPr>
        <w:t>Universidade Federal de Santa Maria</w:t>
      </w:r>
      <w:r>
        <w:t xml:space="preserve">, </w:t>
      </w:r>
      <w:r w:rsidRPr="00612475">
        <w:rPr>
          <w:lang w:val="es-AR"/>
        </w:rPr>
        <w:t>Depart</w:t>
      </w:r>
      <w:r>
        <w:t>a</w:t>
      </w:r>
      <w:r>
        <w:rPr>
          <w:lang w:val="pt-PT"/>
        </w:rPr>
        <w:t>mento de Tecnologia e Ci</w:t>
      </w:r>
      <w:r>
        <w:t>ê</w:t>
      </w:r>
      <w:r>
        <w:rPr>
          <w:lang w:val="pt-PT"/>
        </w:rPr>
        <w:t>ncia de Alimentos, Santa Maria, 97105-900, Brazil</w:t>
      </w:r>
    </w:p>
    <w:p w14:paraId="50E3C0DA" w14:textId="1184467E" w:rsidR="008C1B9D" w:rsidRDefault="004E6869" w:rsidP="0066344B">
      <w:pPr>
        <w:pStyle w:val="Cuerpo"/>
        <w:spacing w:line="240" w:lineRule="auto"/>
        <w:jc w:val="left"/>
      </w:pPr>
      <w:r>
        <w:rPr>
          <w:rStyle w:val="Ninguno"/>
        </w:rPr>
        <w:t>Dirección de e-mail:</w:t>
      </w:r>
      <w:r>
        <w:rPr>
          <w:rStyle w:val="Ninguno"/>
        </w:rPr>
        <w:tab/>
      </w:r>
      <w:hyperlink r:id="rId6" w:history="1">
        <w:r>
          <w:rPr>
            <w:rStyle w:val="Hyperlink0"/>
          </w:rPr>
          <w:t>emsantos@uaeh.edu.mx</w:t>
        </w:r>
      </w:hyperlink>
      <w:r w:rsidR="001B6A40">
        <w:t xml:space="preserve"> ; </w:t>
      </w:r>
      <w:hyperlink r:id="rId7" w:history="1">
        <w:r>
          <w:rPr>
            <w:rStyle w:val="Hyperlink0"/>
          </w:rPr>
          <w:t>ce130148@uaeh.edu.mx</w:t>
        </w:r>
      </w:hyperlink>
    </w:p>
    <w:p w14:paraId="4C6A59B7" w14:textId="77777777" w:rsidR="008C1B9D" w:rsidRDefault="004E6869">
      <w:pPr>
        <w:pStyle w:val="Cuerpo"/>
        <w:spacing w:after="0" w:line="240" w:lineRule="auto"/>
      </w:pPr>
      <w:r>
        <w:rPr>
          <w:rStyle w:val="Ninguno"/>
          <w:lang w:val="fr-FR"/>
        </w:rPr>
        <w:t>RESUMEN</w:t>
      </w:r>
    </w:p>
    <w:p w14:paraId="27009840" w14:textId="77777777" w:rsidR="008C1B9D" w:rsidRDefault="008C1B9D">
      <w:pPr>
        <w:pStyle w:val="Cuerpo"/>
        <w:spacing w:after="0" w:line="240" w:lineRule="auto"/>
      </w:pPr>
    </w:p>
    <w:p w14:paraId="5CDD8FC3" w14:textId="3DFF8C00" w:rsidR="008C1B9D" w:rsidRDefault="004E6869">
      <w:pPr>
        <w:pStyle w:val="MDPI17abstract"/>
        <w:spacing w:before="0" w:line="240" w:lineRule="auto"/>
        <w:ind w:left="0"/>
        <w:rPr>
          <w:rStyle w:val="Ninguno"/>
          <w:rFonts w:ascii="Arial" w:eastAsia="Arial" w:hAnsi="Arial" w:cs="Arial"/>
          <w:sz w:val="24"/>
          <w:szCs w:val="24"/>
        </w:rPr>
      </w:pPr>
      <w:r>
        <w:rPr>
          <w:rStyle w:val="Ninguno"/>
          <w:rFonts w:ascii="Arial" w:hAnsi="Arial"/>
          <w:sz w:val="24"/>
          <w:szCs w:val="24"/>
        </w:rPr>
        <w:t>La carne y productos cárnicos son una fuente nutricional importante en la dieta humana, sin embargo, debido a su alto contenido de grasa y sal, así como su consumo habitual se encuentran relacionados con el padecimiento de diferentes enfermedades como diabetes</w:t>
      </w:r>
      <w:r w:rsidR="002C50AF">
        <w:rPr>
          <w:rStyle w:val="Ninguno"/>
          <w:rFonts w:ascii="Arial" w:hAnsi="Arial"/>
          <w:sz w:val="24"/>
          <w:szCs w:val="24"/>
        </w:rPr>
        <w:t xml:space="preserve"> y</w:t>
      </w:r>
      <w:r>
        <w:rPr>
          <w:rStyle w:val="Ninguno"/>
          <w:rFonts w:ascii="Arial" w:hAnsi="Arial"/>
          <w:sz w:val="24"/>
          <w:szCs w:val="24"/>
        </w:rPr>
        <w:t xml:space="preserve"> problemas cardiovasculares. Actualmente, una de las tendencias para mejorar la calidad nutricional de los productos cárnicos es la reducción de grasa y sal, así como la adición de fibra, por medio de la incorporación de fuentes vegetales. En este contexto los hongos </w:t>
      </w:r>
      <w:r>
        <w:rPr>
          <w:rStyle w:val="Ninguno"/>
          <w:rFonts w:ascii="Arial" w:hAnsi="Arial"/>
          <w:i/>
          <w:iCs/>
          <w:sz w:val="24"/>
          <w:szCs w:val="24"/>
        </w:rPr>
        <w:t>Agaricus bisporus</w:t>
      </w:r>
      <w:r>
        <w:rPr>
          <w:rStyle w:val="Ninguno"/>
          <w:rFonts w:ascii="Arial" w:hAnsi="Arial"/>
          <w:sz w:val="24"/>
          <w:szCs w:val="24"/>
        </w:rPr>
        <w:t xml:space="preserve"> y </w:t>
      </w:r>
      <w:r>
        <w:rPr>
          <w:rStyle w:val="Ninguno"/>
          <w:rFonts w:ascii="Arial" w:hAnsi="Arial"/>
          <w:i/>
          <w:iCs/>
          <w:sz w:val="24"/>
          <w:szCs w:val="24"/>
        </w:rPr>
        <w:t>Pleurotus ostreatus</w:t>
      </w:r>
      <w:r>
        <w:rPr>
          <w:rStyle w:val="Ninguno"/>
          <w:rFonts w:ascii="Arial" w:hAnsi="Arial"/>
          <w:sz w:val="24"/>
          <w:szCs w:val="24"/>
        </w:rPr>
        <w:t xml:space="preserve"> son una fuente de nutrientes esenciales, con alto contenido en proteína (16</w:t>
      </w:r>
      <w:r w:rsidR="00E827AD">
        <w:rPr>
          <w:rStyle w:val="Ninguno"/>
          <w:rFonts w:ascii="Arial" w:hAnsi="Arial"/>
          <w:sz w:val="24"/>
          <w:szCs w:val="24"/>
        </w:rPr>
        <w:t>,</w:t>
      </w:r>
      <w:r>
        <w:rPr>
          <w:rStyle w:val="Ninguno"/>
          <w:rFonts w:ascii="Arial" w:hAnsi="Arial"/>
          <w:sz w:val="24"/>
          <w:szCs w:val="24"/>
        </w:rPr>
        <w:t>47-36</w:t>
      </w:r>
      <w:r w:rsidR="00E827AD">
        <w:rPr>
          <w:rStyle w:val="Ninguno"/>
          <w:rFonts w:ascii="Arial" w:hAnsi="Arial"/>
          <w:sz w:val="24"/>
          <w:szCs w:val="24"/>
        </w:rPr>
        <w:t>,</w:t>
      </w:r>
      <w:r>
        <w:rPr>
          <w:rStyle w:val="Ninguno"/>
          <w:rFonts w:ascii="Arial" w:hAnsi="Arial"/>
          <w:sz w:val="24"/>
          <w:szCs w:val="24"/>
        </w:rPr>
        <w:t>96 %), bajo contenido de grasa y alto contenido de fibra (24</w:t>
      </w:r>
      <w:r w:rsidR="00E827AD">
        <w:rPr>
          <w:rStyle w:val="Ninguno"/>
          <w:rFonts w:ascii="Arial" w:hAnsi="Arial"/>
          <w:sz w:val="24"/>
          <w:szCs w:val="24"/>
        </w:rPr>
        <w:t>,</w:t>
      </w:r>
      <w:r>
        <w:rPr>
          <w:rStyle w:val="Ninguno"/>
          <w:rFonts w:ascii="Arial" w:hAnsi="Arial"/>
          <w:sz w:val="24"/>
          <w:szCs w:val="24"/>
        </w:rPr>
        <w:t>4-46</w:t>
      </w:r>
      <w:r w:rsidR="00E827AD">
        <w:rPr>
          <w:rStyle w:val="Ninguno"/>
          <w:rFonts w:ascii="Arial" w:hAnsi="Arial"/>
          <w:sz w:val="24"/>
          <w:szCs w:val="24"/>
        </w:rPr>
        <w:t>,</w:t>
      </w:r>
      <w:r>
        <w:rPr>
          <w:rStyle w:val="Ninguno"/>
          <w:rFonts w:ascii="Arial" w:hAnsi="Arial"/>
          <w:sz w:val="24"/>
          <w:szCs w:val="24"/>
        </w:rPr>
        <w:t xml:space="preserve">62 %), además imparten sabor </w:t>
      </w:r>
      <w:r w:rsidRPr="0066344B">
        <w:rPr>
          <w:rStyle w:val="Ninguno"/>
          <w:rFonts w:ascii="Arial" w:hAnsi="Arial"/>
          <w:i/>
          <w:iCs/>
          <w:sz w:val="24"/>
          <w:szCs w:val="24"/>
        </w:rPr>
        <w:t>umami</w:t>
      </w:r>
      <w:r>
        <w:rPr>
          <w:rStyle w:val="Ninguno"/>
          <w:rFonts w:ascii="Arial" w:hAnsi="Arial"/>
          <w:sz w:val="24"/>
          <w:szCs w:val="24"/>
        </w:rPr>
        <w:t xml:space="preserve"> lo que podría contribuir en la reducción de sal en formulaciones cárnicas. </w:t>
      </w:r>
      <w:r w:rsidRPr="00E827AD">
        <w:rPr>
          <w:rStyle w:val="Ninguno"/>
          <w:rFonts w:ascii="Arial" w:hAnsi="Arial"/>
          <w:sz w:val="24"/>
          <w:szCs w:val="24"/>
        </w:rPr>
        <w:t xml:space="preserve">El objetivo de este estudio fue evaluar la sustitución parcial de la grasa de cerdo </w:t>
      </w:r>
      <w:r w:rsidR="001D0F4F" w:rsidRPr="00E827AD">
        <w:rPr>
          <w:rStyle w:val="Ninguno"/>
          <w:rFonts w:ascii="Arial" w:hAnsi="Arial"/>
          <w:sz w:val="24"/>
          <w:szCs w:val="24"/>
        </w:rPr>
        <w:t xml:space="preserve">(30 y 50 %) </w:t>
      </w:r>
      <w:r w:rsidRPr="00E827AD">
        <w:rPr>
          <w:rStyle w:val="Ninguno"/>
          <w:rFonts w:ascii="Arial" w:hAnsi="Arial"/>
          <w:sz w:val="24"/>
          <w:szCs w:val="24"/>
        </w:rPr>
        <w:t>y del 50 % de la sal mediante la adición de harina de hongos comestibles (2</w:t>
      </w:r>
      <w:r w:rsidR="001D0F4F" w:rsidRPr="00E827AD">
        <w:rPr>
          <w:rStyle w:val="Ninguno"/>
          <w:rFonts w:ascii="Arial" w:hAnsi="Arial"/>
          <w:sz w:val="24"/>
          <w:szCs w:val="24"/>
        </w:rPr>
        <w:t>,</w:t>
      </w:r>
      <w:r w:rsidRPr="00E827AD">
        <w:rPr>
          <w:rStyle w:val="Ninguno"/>
          <w:rFonts w:ascii="Arial" w:hAnsi="Arial"/>
          <w:sz w:val="24"/>
          <w:szCs w:val="24"/>
        </w:rPr>
        <w:t>5 y 5</w:t>
      </w:r>
      <w:r w:rsidR="001D0F4F" w:rsidRPr="00E827AD">
        <w:rPr>
          <w:rStyle w:val="Ninguno"/>
          <w:rFonts w:ascii="Arial" w:hAnsi="Arial"/>
          <w:sz w:val="24"/>
          <w:szCs w:val="24"/>
        </w:rPr>
        <w:t>,</w:t>
      </w:r>
      <w:r w:rsidRPr="00E827AD">
        <w:rPr>
          <w:rStyle w:val="Ninguno"/>
          <w:rFonts w:ascii="Arial" w:hAnsi="Arial"/>
          <w:sz w:val="24"/>
          <w:szCs w:val="24"/>
        </w:rPr>
        <w:t xml:space="preserve">0 %) de </w:t>
      </w:r>
      <w:r w:rsidRPr="00E827AD">
        <w:rPr>
          <w:rStyle w:val="Ninguno"/>
          <w:rFonts w:ascii="Arial" w:hAnsi="Arial"/>
          <w:i/>
          <w:iCs/>
          <w:sz w:val="24"/>
          <w:szCs w:val="24"/>
        </w:rPr>
        <w:t xml:space="preserve">Agaricus bisporus </w:t>
      </w:r>
      <w:r w:rsidRPr="00E827AD">
        <w:rPr>
          <w:rStyle w:val="Ninguno"/>
          <w:rFonts w:ascii="Arial" w:hAnsi="Arial"/>
          <w:sz w:val="24"/>
          <w:szCs w:val="24"/>
        </w:rPr>
        <w:t xml:space="preserve">(Ab) y </w:t>
      </w:r>
      <w:r w:rsidRPr="00E827AD">
        <w:rPr>
          <w:rStyle w:val="Ninguno"/>
          <w:rFonts w:ascii="Arial" w:hAnsi="Arial"/>
          <w:i/>
          <w:iCs/>
          <w:sz w:val="24"/>
          <w:szCs w:val="24"/>
        </w:rPr>
        <w:t>Pleurotus ostreatus</w:t>
      </w:r>
      <w:r w:rsidRPr="00E827AD">
        <w:rPr>
          <w:rStyle w:val="Ninguno"/>
          <w:rFonts w:ascii="Arial" w:hAnsi="Arial"/>
          <w:sz w:val="24"/>
          <w:szCs w:val="24"/>
        </w:rPr>
        <w:t xml:space="preserve"> (Po) evaluando las propiedades fisicoquímicas, microbiológicas y sensoriales de salchichas Frankfurt durante el tiempo de almacenamiento en refrigeración</w:t>
      </w:r>
      <w:r>
        <w:rPr>
          <w:rStyle w:val="Ninguno"/>
          <w:rFonts w:ascii="Arial" w:hAnsi="Arial"/>
          <w:sz w:val="24"/>
          <w:szCs w:val="24"/>
        </w:rPr>
        <w:t>.</w:t>
      </w:r>
      <w:r w:rsidR="0066344B">
        <w:rPr>
          <w:rStyle w:val="Ninguno"/>
          <w:rFonts w:ascii="Arial" w:hAnsi="Arial"/>
          <w:sz w:val="24"/>
          <w:szCs w:val="24"/>
        </w:rPr>
        <w:t xml:space="preserve"> Se determinó composición proximal (humedad, grasa, proteína, fibra, cenizas), concentración de sodio, composición de aminoácidos, color (parámetros CieLab) y textura (perfil TPA). Microbiológicamente</w:t>
      </w:r>
      <w:r w:rsidR="003805F6">
        <w:rPr>
          <w:rStyle w:val="Ninguno"/>
          <w:rFonts w:ascii="Arial" w:hAnsi="Arial"/>
          <w:sz w:val="24"/>
          <w:szCs w:val="24"/>
        </w:rPr>
        <w:t xml:space="preserve"> se determinó recuento total, pseudomonas, bacterias acidolácticas y psicrotrofos. Sensorialmente se realizó una prueba hedónica con un panel entrenado</w:t>
      </w:r>
      <w:r w:rsidR="001A227C">
        <w:rPr>
          <w:rStyle w:val="Ninguno"/>
          <w:rFonts w:ascii="Arial" w:hAnsi="Arial"/>
          <w:sz w:val="24"/>
          <w:szCs w:val="24"/>
        </w:rPr>
        <w:t xml:space="preserve"> formado por 20 personas</w:t>
      </w:r>
      <w:r w:rsidR="003805F6">
        <w:rPr>
          <w:rStyle w:val="Ninguno"/>
          <w:rFonts w:ascii="Arial" w:hAnsi="Arial"/>
          <w:sz w:val="24"/>
          <w:szCs w:val="24"/>
        </w:rPr>
        <w:t xml:space="preserve"> valorando </w:t>
      </w:r>
      <w:r w:rsidR="001A227C">
        <w:rPr>
          <w:rStyle w:val="Ninguno"/>
          <w:rFonts w:ascii="Arial" w:hAnsi="Arial"/>
          <w:sz w:val="24"/>
          <w:szCs w:val="24"/>
        </w:rPr>
        <w:t>color, decoloración, olor y sabor.</w:t>
      </w:r>
      <w:r>
        <w:rPr>
          <w:rStyle w:val="Ninguno"/>
          <w:rFonts w:ascii="Arial" w:hAnsi="Arial"/>
          <w:sz w:val="24"/>
          <w:szCs w:val="24"/>
        </w:rPr>
        <w:t xml:space="preserve"> La adición de harinas</w:t>
      </w:r>
      <w:r w:rsidR="00E827AD">
        <w:rPr>
          <w:rStyle w:val="Ninguno"/>
          <w:rFonts w:ascii="Arial" w:hAnsi="Arial"/>
          <w:sz w:val="24"/>
          <w:szCs w:val="24"/>
        </w:rPr>
        <w:t xml:space="preserve"> de hongos</w:t>
      </w:r>
      <w:r>
        <w:rPr>
          <w:rStyle w:val="Ninguno"/>
          <w:rFonts w:ascii="Arial" w:hAnsi="Arial"/>
          <w:sz w:val="24"/>
          <w:szCs w:val="24"/>
        </w:rPr>
        <w:t xml:space="preserve"> aumentó el contenido de humedad y el de fibra dietética en las muestras, mientras que el perfil de aminoácidos se mantuvo. La oxidación lipídica mostró valores aceptables, aunque no se observó un efecto antioxidante por la </w:t>
      </w:r>
      <w:r>
        <w:rPr>
          <w:rStyle w:val="Ninguno"/>
          <w:rFonts w:ascii="Arial" w:hAnsi="Arial"/>
          <w:sz w:val="24"/>
          <w:szCs w:val="24"/>
        </w:rPr>
        <w:lastRenderedPageBreak/>
        <w:t>presencia de las harinas de hongo. El color y la textura se vieron afectados por la adición de las harinas de hongos, obteniendo muestras más oscuras por la adición de Ab, mientras que la adición de harina Po resultó en salchichas más blandas y menos cohesivas. Las puntuaciones sensoriales de los parámetros de color, sabor y aroma fueron menores en las muestras con harinas de hongos en comparación con el control</w:t>
      </w:r>
      <w:r w:rsidR="0066344B">
        <w:rPr>
          <w:rStyle w:val="Ninguno"/>
          <w:rFonts w:ascii="Arial" w:hAnsi="Arial"/>
          <w:sz w:val="24"/>
          <w:szCs w:val="24"/>
        </w:rPr>
        <w:t xml:space="preserve"> elaborado sin la adición de harinas</w:t>
      </w:r>
      <w:r>
        <w:rPr>
          <w:rStyle w:val="Ninguno"/>
          <w:rFonts w:ascii="Arial" w:hAnsi="Arial"/>
          <w:sz w:val="24"/>
          <w:szCs w:val="24"/>
        </w:rPr>
        <w:t>, no obstante, se consideraron en el nivel aceptable</w:t>
      </w:r>
      <w:r w:rsidR="00E827AD">
        <w:rPr>
          <w:rStyle w:val="Ninguno"/>
          <w:rFonts w:ascii="Arial" w:hAnsi="Arial"/>
          <w:sz w:val="24"/>
          <w:szCs w:val="24"/>
        </w:rPr>
        <w:t>,</w:t>
      </w:r>
      <w:r>
        <w:rPr>
          <w:rStyle w:val="Ninguno"/>
          <w:rFonts w:ascii="Arial" w:hAnsi="Arial"/>
          <w:sz w:val="24"/>
          <w:szCs w:val="24"/>
        </w:rPr>
        <w:t xml:space="preserve"> confirmando que la inclusión de 2</w:t>
      </w:r>
      <w:r w:rsidR="00E827AD">
        <w:rPr>
          <w:rStyle w:val="Ninguno"/>
          <w:rFonts w:ascii="Arial" w:hAnsi="Arial"/>
          <w:sz w:val="24"/>
          <w:szCs w:val="24"/>
        </w:rPr>
        <w:t>,</w:t>
      </w:r>
      <w:r>
        <w:rPr>
          <w:rStyle w:val="Ninguno"/>
          <w:rFonts w:ascii="Arial" w:hAnsi="Arial"/>
          <w:sz w:val="24"/>
          <w:szCs w:val="24"/>
        </w:rPr>
        <w:t>5 % de las harinas Ab y Po en salchichas Frankfurt reducidas en grasa y sal resulta en una estrategia factible y de gran interés para mejorar el perfil nutricional de estos productos.</w:t>
      </w:r>
    </w:p>
    <w:p w14:paraId="3AE114BD" w14:textId="77777777" w:rsidR="008C1B9D" w:rsidRDefault="008C1B9D">
      <w:pPr>
        <w:pStyle w:val="Cuerpo"/>
        <w:spacing w:after="0" w:line="240" w:lineRule="auto"/>
        <w:rPr>
          <w:rStyle w:val="Ninguno"/>
        </w:rPr>
      </w:pPr>
    </w:p>
    <w:p w14:paraId="67E57BE3" w14:textId="77777777" w:rsidR="008C1B9D" w:rsidRDefault="004E6869">
      <w:pPr>
        <w:pStyle w:val="Cuerpo"/>
        <w:spacing w:after="0" w:line="240" w:lineRule="auto"/>
      </w:pPr>
      <w:r>
        <w:rPr>
          <w:rStyle w:val="Ninguno"/>
        </w:rPr>
        <w:t>Palabras Clave: reducción de grasa y sal, hongos comestibles, productos cárnicos saludables, emulsiones cárnicas.</w:t>
      </w:r>
    </w:p>
    <w:p w14:paraId="69CE9C83" w14:textId="77777777" w:rsidR="008C1B9D" w:rsidRDefault="008C1B9D">
      <w:pPr>
        <w:pStyle w:val="Cuerpo"/>
        <w:spacing w:after="0" w:line="240" w:lineRule="auto"/>
      </w:pPr>
    </w:p>
    <w:p w14:paraId="365740C1" w14:textId="77777777" w:rsidR="008C1B9D" w:rsidRDefault="008C1B9D">
      <w:pPr>
        <w:pStyle w:val="Cuerpo"/>
        <w:spacing w:after="0" w:line="240" w:lineRule="auto"/>
      </w:pPr>
    </w:p>
    <w:sectPr w:rsidR="008C1B9D">
      <w:headerReference w:type="default" r:id="rId8"/>
      <w:footerReference w:type="default" r:id="rId9"/>
      <w:pgSz w:w="11900"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14189" w14:textId="77777777" w:rsidR="00CB3FBB" w:rsidRDefault="00CB3FBB">
      <w:r>
        <w:separator/>
      </w:r>
    </w:p>
  </w:endnote>
  <w:endnote w:type="continuationSeparator" w:id="0">
    <w:p w14:paraId="6298606F" w14:textId="77777777" w:rsidR="00CB3FBB" w:rsidRDefault="00CB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01BD8" w14:textId="77777777" w:rsidR="003805F6" w:rsidRDefault="003805F6">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F542D" w14:textId="77777777" w:rsidR="00CB3FBB" w:rsidRDefault="00CB3FBB">
      <w:r>
        <w:separator/>
      </w:r>
    </w:p>
  </w:footnote>
  <w:footnote w:type="continuationSeparator" w:id="0">
    <w:p w14:paraId="4D00894A" w14:textId="77777777" w:rsidR="00CB3FBB" w:rsidRDefault="00CB3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5D802" w14:textId="77777777" w:rsidR="003805F6" w:rsidRDefault="003805F6">
    <w:pPr>
      <w:pStyle w:val="Cuerpo"/>
      <w:pBdr>
        <w:bottom w:val="single" w:sz="4" w:space="0" w:color="000000"/>
      </w:pBdr>
      <w:spacing w:after="0" w:line="240" w:lineRule="auto"/>
      <w:jc w:val="right"/>
    </w:pPr>
    <w:r>
      <w:rPr>
        <w:noProof/>
        <w:lang w:val="es-ES" w:eastAsia="es-ES"/>
      </w:rPr>
      <w:drawing>
        <wp:anchor distT="152400" distB="152400" distL="152400" distR="152400" simplePos="0" relativeHeight="251658240" behindDoc="1" locked="0" layoutInCell="1" allowOverlap="1" wp14:anchorId="65C07C48" wp14:editId="246CB6F7">
          <wp:simplePos x="0" y="0"/>
          <wp:positionH relativeFrom="page">
            <wp:posOffset>1085852</wp:posOffset>
          </wp:positionH>
          <wp:positionV relativeFrom="page">
            <wp:posOffset>229237</wp:posOffset>
          </wp:positionV>
          <wp:extent cx="676275" cy="657225"/>
          <wp:effectExtent l="0" t="0" r="0" b="0"/>
          <wp:wrapNone/>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stretch>
                    <a:fillRect/>
                  </a:stretch>
                </pic:blipFill>
                <pic:spPr>
                  <a:xfrm>
                    <a:off x="0" y="0"/>
                    <a:ext cx="676275" cy="657225"/>
                  </a:xfrm>
                  <a:prstGeom prst="rect">
                    <a:avLst/>
                  </a:prstGeom>
                  <a:ln w="12700" cap="flat">
                    <a:noFill/>
                    <a:miter lim="400000"/>
                  </a:ln>
                  <a:effectLst/>
                </pic:spPr>
              </pic:pic>
            </a:graphicData>
          </a:graphic>
        </wp:anchor>
      </w:drawing>
    </w:r>
    <w:r>
      <w:rPr>
        <w:rStyle w:val="Ninguno"/>
        <w:b/>
        <w:bCs/>
        <w:i/>
        <w:iCs/>
        <w:sz w:val="18"/>
        <w:szCs w:val="18"/>
        <w:shd w:val="clear" w:color="auto" w:fill="FFFFFF"/>
      </w:rPr>
      <w:t>VIII Congreso Internacional de Ciencia y Tecnologí</w:t>
    </w:r>
    <w:r>
      <w:rPr>
        <w:rStyle w:val="Ninguno"/>
        <w:b/>
        <w:bCs/>
        <w:i/>
        <w:iCs/>
        <w:sz w:val="18"/>
        <w:szCs w:val="18"/>
        <w:shd w:val="clear" w:color="auto" w:fill="FFFFFF"/>
        <w:lang w:val="pt-PT"/>
      </w:rPr>
      <w:t>a de Alimentos (CICYTAC 202</w:t>
    </w:r>
    <w:r>
      <w:rPr>
        <w:rStyle w:val="Ninguno"/>
        <w:b/>
        <w:bCs/>
        <w:i/>
        <w:iCs/>
        <w:sz w:val="18"/>
        <w:szCs w:val="18"/>
        <w:shd w:val="clear" w:color="auto" w:fill="FFFFFF"/>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9D"/>
    <w:rsid w:val="0003317C"/>
    <w:rsid w:val="00065AB4"/>
    <w:rsid w:val="001A227C"/>
    <w:rsid w:val="001B6A40"/>
    <w:rsid w:val="001D0F4F"/>
    <w:rsid w:val="002C50AF"/>
    <w:rsid w:val="00362FAB"/>
    <w:rsid w:val="003805F6"/>
    <w:rsid w:val="004E6869"/>
    <w:rsid w:val="00612475"/>
    <w:rsid w:val="0066344B"/>
    <w:rsid w:val="006C0B57"/>
    <w:rsid w:val="0082110D"/>
    <w:rsid w:val="008A7DC3"/>
    <w:rsid w:val="008C1B9D"/>
    <w:rsid w:val="00CB3FBB"/>
    <w:rsid w:val="00E827AD"/>
    <w:rsid w:val="00F721BC"/>
    <w:rsid w:val="00FA2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F76ED"/>
  <w15:docId w15:val="{614B4F61-5A1E-4171-9D02-C1AE89D9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pPr>
      <w:suppressAutoHyphens/>
      <w:spacing w:after="200" w:line="276" w:lineRule="auto"/>
      <w:jc w:val="both"/>
      <w:outlineLvl w:val="0"/>
    </w:pPr>
    <w:rPr>
      <w:rFonts w:ascii="Arial" w:hAnsi="Arial" w:cs="Arial Unicode MS"/>
      <w:color w:val="000000"/>
      <w:position w:val="-2"/>
      <w:sz w:val="24"/>
      <w:szCs w:val="24"/>
      <w:u w:color="000000"/>
      <w:lang w:val="es-ES_tradnl"/>
      <w14:textOutline w14:w="0" w14:cap="flat" w14:cmpd="sng" w14:algn="ctr">
        <w14:noFill/>
        <w14:prstDash w14:val="solid"/>
        <w14:bevel/>
      </w14:textOutline>
    </w:rPr>
  </w:style>
  <w:style w:type="character" w:customStyle="1" w:styleId="Ninguno">
    <w:name w:val="Ninguno"/>
    <w:rPr>
      <w:lang w:val="es-ES_tradnl"/>
    </w:rPr>
  </w:style>
  <w:style w:type="paragraph" w:customStyle="1" w:styleId="Encabezadoypie">
    <w:name w:val="Encabezado y pi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tulo">
    <w:name w:val="Title"/>
    <w:next w:val="Cuerpo"/>
    <w:uiPriority w:val="10"/>
    <w:qFormat/>
    <w:pPr>
      <w:keepNext/>
      <w:keepLines/>
      <w:suppressAutoHyphens/>
      <w:spacing w:before="480" w:after="120" w:line="276" w:lineRule="auto"/>
      <w:jc w:val="both"/>
      <w:outlineLvl w:val="0"/>
    </w:pPr>
    <w:rPr>
      <w:rFonts w:ascii="Arial" w:hAnsi="Arial" w:cs="Arial Unicode MS"/>
      <w:b/>
      <w:bCs/>
      <w:color w:val="000000"/>
      <w:position w:val="-2"/>
      <w:sz w:val="72"/>
      <w:szCs w:val="72"/>
      <w:u w:color="000000"/>
      <w:lang w:val="es-ES_tradnl"/>
    </w:rPr>
  </w:style>
  <w:style w:type="character" w:customStyle="1" w:styleId="Hyperlink0">
    <w:name w:val="Hyperlink.0"/>
    <w:basedOn w:val="Hipervnculo"/>
    <w:rPr>
      <w:color w:val="0000FF"/>
      <w:position w:val="-2"/>
      <w:u w:val="single" w:color="0000FF"/>
      <w:vertAlign w:val="baseline"/>
      <w14:textOutline w14:w="0" w14:cap="rnd" w14:cmpd="sng" w14:algn="ctr">
        <w14:noFill/>
        <w14:prstDash w14:val="solid"/>
        <w14:bevel/>
      </w14:textOutline>
    </w:rPr>
  </w:style>
  <w:style w:type="paragraph" w:customStyle="1" w:styleId="MDPI17abstract">
    <w:name w:val="MDPI_1.7_abstract"/>
    <w:next w:val="Cuerpo"/>
    <w:pPr>
      <w:spacing w:before="240" w:line="260" w:lineRule="atLeast"/>
      <w:ind w:left="113"/>
      <w:jc w:val="both"/>
    </w:pPr>
    <w:rPr>
      <w:rFonts w:ascii="Palatino Linotype" w:eastAsia="Palatino Linotype" w:hAnsi="Palatino Linotype" w:cs="Palatino Linotype"/>
      <w:color w:val="000000"/>
      <w:u w:color="000000"/>
    </w:rPr>
  </w:style>
  <w:style w:type="paragraph" w:styleId="Textodeglobo">
    <w:name w:val="Balloon Text"/>
    <w:basedOn w:val="Normal"/>
    <w:link w:val="TextodegloboCar"/>
    <w:uiPriority w:val="99"/>
    <w:semiHidden/>
    <w:unhideWhenUsed/>
    <w:rsid w:val="008211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110D"/>
    <w:rPr>
      <w:rFonts w:ascii="Segoe UI" w:hAnsi="Segoe UI" w:cs="Segoe UI"/>
      <w:sz w:val="18"/>
      <w:szCs w:val="18"/>
    </w:rPr>
  </w:style>
  <w:style w:type="character" w:styleId="Refdecomentario">
    <w:name w:val="annotation reference"/>
    <w:basedOn w:val="Fuentedeprrafopredeter"/>
    <w:uiPriority w:val="99"/>
    <w:semiHidden/>
    <w:unhideWhenUsed/>
    <w:rsid w:val="00E827AD"/>
    <w:rPr>
      <w:sz w:val="16"/>
      <w:szCs w:val="16"/>
    </w:rPr>
  </w:style>
  <w:style w:type="paragraph" w:styleId="Textocomentario">
    <w:name w:val="annotation text"/>
    <w:basedOn w:val="Normal"/>
    <w:link w:val="TextocomentarioCar"/>
    <w:uiPriority w:val="99"/>
    <w:semiHidden/>
    <w:unhideWhenUsed/>
    <w:rsid w:val="00E827AD"/>
    <w:rPr>
      <w:sz w:val="20"/>
      <w:szCs w:val="20"/>
    </w:rPr>
  </w:style>
  <w:style w:type="character" w:customStyle="1" w:styleId="TextocomentarioCar">
    <w:name w:val="Texto comentario Car"/>
    <w:basedOn w:val="Fuentedeprrafopredeter"/>
    <w:link w:val="Textocomentario"/>
    <w:uiPriority w:val="99"/>
    <w:semiHidden/>
    <w:rsid w:val="00E827AD"/>
  </w:style>
  <w:style w:type="paragraph" w:styleId="Asuntodelcomentario">
    <w:name w:val="annotation subject"/>
    <w:basedOn w:val="Textocomentario"/>
    <w:next w:val="Textocomentario"/>
    <w:link w:val="AsuntodelcomentarioCar"/>
    <w:uiPriority w:val="99"/>
    <w:semiHidden/>
    <w:unhideWhenUsed/>
    <w:rsid w:val="00E827AD"/>
    <w:rPr>
      <w:b/>
      <w:bCs/>
    </w:rPr>
  </w:style>
  <w:style w:type="character" w:customStyle="1" w:styleId="AsuntodelcomentarioCar">
    <w:name w:val="Asunto del comentario Car"/>
    <w:basedOn w:val="TextocomentarioCar"/>
    <w:link w:val="Asuntodelcomentario"/>
    <w:uiPriority w:val="99"/>
    <w:semiHidden/>
    <w:rsid w:val="00E827AD"/>
    <w:rPr>
      <w:b/>
      <w:bCs/>
    </w:rPr>
  </w:style>
  <w:style w:type="paragraph" w:styleId="Revisin">
    <w:name w:val="Revision"/>
    <w:hidden/>
    <w:uiPriority w:val="99"/>
    <w:semiHidden/>
    <w:rsid w:val="00E827A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e130148@uaeh.edu.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santos@uaeh.edu.m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Revisora</cp:lastModifiedBy>
  <cp:revision>2</cp:revision>
  <dcterms:created xsi:type="dcterms:W3CDTF">2022-08-05T17:55:00Z</dcterms:created>
  <dcterms:modified xsi:type="dcterms:W3CDTF">2022-08-05T17:55:00Z</dcterms:modified>
</cp:coreProperties>
</file>