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38EB" w14:textId="56F42ACF" w:rsidR="00572222" w:rsidRDefault="004D0B1B" w:rsidP="00084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CITOTOXICIDAD Y CITOPROTECCIÓN DE CO-ENCAPSULADOS DE LEVADURA </w:t>
      </w:r>
      <w:r w:rsidR="00A25476">
        <w:rPr>
          <w:b/>
          <w:color w:val="000000"/>
        </w:rPr>
        <w:t xml:space="preserve">POTENCIALMENTE </w:t>
      </w:r>
      <w:r>
        <w:rPr>
          <w:b/>
        </w:rPr>
        <w:t>PROBIÓ</w:t>
      </w:r>
      <w:r w:rsidRPr="00A5432B">
        <w:rPr>
          <w:b/>
        </w:rPr>
        <w:t xml:space="preserve">TICA </w:t>
      </w:r>
      <w:r w:rsidR="00462537">
        <w:rPr>
          <w:b/>
          <w:bCs/>
          <w:iCs/>
          <w:noProof/>
        </w:rPr>
        <w:t>Y</w:t>
      </w:r>
      <w:r w:rsidR="00A12AF1" w:rsidRPr="00A12AF1">
        <w:rPr>
          <w:b/>
          <w:bCs/>
          <w:iCs/>
          <w:noProof/>
        </w:rPr>
        <w:t xml:space="preserve"> EXTRACTO POLIFENÓLICO DE TEGUMENTO DE MANÍ</w:t>
      </w:r>
      <w:r w:rsidRPr="00A5432B">
        <w:rPr>
          <w:b/>
        </w:rPr>
        <w:br/>
      </w:r>
    </w:p>
    <w:p w14:paraId="57B96CE1" w14:textId="77777777" w:rsidR="00572222" w:rsidRDefault="00572222">
      <w:pPr>
        <w:spacing w:after="0" w:line="240" w:lineRule="auto"/>
        <w:ind w:left="0" w:hanging="2"/>
        <w:jc w:val="center"/>
      </w:pPr>
    </w:p>
    <w:p w14:paraId="7F92E7F3" w14:textId="29991265" w:rsidR="00572222" w:rsidRDefault="006F65AB">
      <w:pPr>
        <w:spacing w:after="0" w:line="240" w:lineRule="auto"/>
        <w:ind w:left="0" w:hanging="2"/>
        <w:jc w:val="center"/>
      </w:pPr>
      <w:r>
        <w:t>Centomo</w:t>
      </w:r>
      <w:r w:rsidR="00C61D9E">
        <w:t xml:space="preserve"> AM</w:t>
      </w:r>
      <w:r w:rsidR="00064670">
        <w:t xml:space="preserve"> (1)</w:t>
      </w:r>
      <w:r w:rsidR="00350DB2">
        <w:t xml:space="preserve">, </w:t>
      </w:r>
      <w:r w:rsidR="00C61D9E">
        <w:t>Diaz Vergara LI</w:t>
      </w:r>
      <w:r w:rsidR="00064670">
        <w:t xml:space="preserve"> (1)</w:t>
      </w:r>
      <w:r w:rsidR="00C61D9E">
        <w:t>,</w:t>
      </w:r>
      <w:r w:rsidR="003527E9">
        <w:t xml:space="preserve"> </w:t>
      </w:r>
      <w:proofErr w:type="spellStart"/>
      <w:r w:rsidR="00EB0D3F">
        <w:t>Bodoira</w:t>
      </w:r>
      <w:proofErr w:type="spellEnd"/>
      <w:r w:rsidR="00EB0D3F">
        <w:t xml:space="preserve">, R. (2), </w:t>
      </w:r>
      <w:proofErr w:type="spellStart"/>
      <w:r w:rsidR="00EB0D3F">
        <w:t>Maestri</w:t>
      </w:r>
      <w:proofErr w:type="spellEnd"/>
      <w:r w:rsidR="00EB0D3F">
        <w:t xml:space="preserve"> D. (3), </w:t>
      </w:r>
      <w:proofErr w:type="spellStart"/>
      <w:r w:rsidR="00084946">
        <w:t>Cavaglieri</w:t>
      </w:r>
      <w:proofErr w:type="spellEnd"/>
      <w:r w:rsidR="00084946">
        <w:t xml:space="preserve"> LR. (</w:t>
      </w:r>
      <w:r w:rsidR="00EB0D3F">
        <w:t>4</w:t>
      </w:r>
      <w:r w:rsidR="00084946">
        <w:t>),</w:t>
      </w:r>
      <w:r w:rsidR="00084946" w:rsidRPr="00A5432B">
        <w:t xml:space="preserve"> Montenegro M.A</w:t>
      </w:r>
      <w:r w:rsidR="00084946">
        <w:t xml:space="preserve"> (1),</w:t>
      </w:r>
      <w:r w:rsidR="00C61D9E">
        <w:t xml:space="preserve"> Rossi YE</w:t>
      </w:r>
      <w:r w:rsidR="00084946">
        <w:t xml:space="preserve"> </w:t>
      </w:r>
      <w:r w:rsidR="00064670">
        <w:t>(1)</w:t>
      </w:r>
      <w:r w:rsidR="00350DB2">
        <w:t xml:space="preserve"> </w:t>
      </w:r>
    </w:p>
    <w:p w14:paraId="41D94AEA" w14:textId="77777777" w:rsidR="00572222" w:rsidRDefault="00572222">
      <w:pPr>
        <w:spacing w:after="0" w:line="240" w:lineRule="auto"/>
        <w:ind w:left="0" w:hanging="2"/>
        <w:jc w:val="center"/>
      </w:pPr>
    </w:p>
    <w:p w14:paraId="481BD3BD" w14:textId="73D4E185" w:rsidR="00572222" w:rsidRDefault="00154419" w:rsidP="000547C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>Instituto Multidisciplinario de Investigación y Transferencia Ag</w:t>
      </w:r>
      <w:r w:rsidR="007A1E80">
        <w:t>r</w:t>
      </w:r>
      <w:r>
        <w:t>oalimentaria y Biotecnológica</w:t>
      </w:r>
      <w:r w:rsidR="00F77DBE">
        <w:t xml:space="preserve"> (IMITAB)</w:t>
      </w:r>
      <w:r w:rsidR="00350DB2">
        <w:t xml:space="preserve">, </w:t>
      </w:r>
      <w:r>
        <w:t>A</w:t>
      </w:r>
      <w:r w:rsidR="00064670">
        <w:t>rturo</w:t>
      </w:r>
      <w:r>
        <w:t xml:space="preserve"> Jauretche </w:t>
      </w:r>
      <w:r w:rsidR="00064670">
        <w:t>1555</w:t>
      </w:r>
      <w:r w:rsidR="00350DB2">
        <w:t xml:space="preserve">, </w:t>
      </w:r>
      <w:r w:rsidR="006F65AB">
        <w:t>Villa María</w:t>
      </w:r>
      <w:r w:rsidR="00350DB2">
        <w:t xml:space="preserve">, </w:t>
      </w:r>
      <w:r w:rsidR="006F65AB">
        <w:t>Córdoba</w:t>
      </w:r>
      <w:r w:rsidR="00350DB2">
        <w:t xml:space="preserve">, </w:t>
      </w:r>
      <w:r w:rsidR="006F65AB">
        <w:t>Argentina</w:t>
      </w:r>
      <w:r w:rsidR="00350DB2">
        <w:t>.</w:t>
      </w:r>
    </w:p>
    <w:p w14:paraId="530E5ED3" w14:textId="386613FF" w:rsidR="00EB0D3F" w:rsidRDefault="00EB0D3F" w:rsidP="000547C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662B5B">
        <w:t>Instituto de Ciencia y Tecnología de los Alimentos Córdoba (ICYTAC</w:t>
      </w:r>
      <w:r>
        <w:t>-CONICET</w:t>
      </w:r>
      <w:r w:rsidRPr="00662B5B">
        <w:t xml:space="preserve">), </w:t>
      </w:r>
      <w:r>
        <w:t>Universidad Nacional de Córdoba</w:t>
      </w:r>
      <w:r w:rsidRPr="00662B5B">
        <w:t>), Córdoba</w:t>
      </w:r>
    </w:p>
    <w:p w14:paraId="58E8D026" w14:textId="77777777" w:rsidR="00DF5A68" w:rsidRDefault="00566F5A" w:rsidP="00EF45AA">
      <w:pPr>
        <w:spacing w:after="120" w:line="240" w:lineRule="auto"/>
        <w:ind w:leftChars="0" w:left="0" w:firstLineChars="0" w:firstLine="0"/>
        <w:jc w:val="center"/>
      </w:pPr>
      <w:r w:rsidRPr="00367762">
        <w:rPr>
          <w:b/>
          <w:bCs/>
        </w:rPr>
        <w:t>(3)</w:t>
      </w:r>
      <w:r>
        <w:t xml:space="preserve"> </w:t>
      </w:r>
      <w:r w:rsidR="00EB0D3F" w:rsidRPr="00662B5B">
        <w:t>Instituto Multidisciplinario de Biología Vegetal (IMBIV</w:t>
      </w:r>
      <w:r w:rsidR="00EB0D3F">
        <w:t>- CONICET</w:t>
      </w:r>
      <w:r w:rsidR="00EB0D3F" w:rsidRPr="00662B5B">
        <w:t>), Universidad Nacional de Córdoba, Córdoba</w:t>
      </w:r>
    </w:p>
    <w:p w14:paraId="6E96E69A" w14:textId="431A096F" w:rsidR="00084946" w:rsidRDefault="00EF45AA" w:rsidP="00EF45AA">
      <w:pPr>
        <w:spacing w:after="120" w:line="240" w:lineRule="auto"/>
        <w:ind w:leftChars="0" w:left="0" w:firstLineChars="0" w:firstLine="0"/>
        <w:jc w:val="center"/>
      </w:pPr>
      <w:r w:rsidRPr="00367762">
        <w:rPr>
          <w:b/>
          <w:bCs/>
        </w:rPr>
        <w:t>(4)</w:t>
      </w:r>
      <w:r>
        <w:t xml:space="preserve"> </w:t>
      </w:r>
      <w:r w:rsidR="00084946">
        <w:t>Departamento de microbiología e inmunología. Facultad de Cs. Exactas fisicoquímicas y naturales, Universidad nacional de Río Cuarto</w:t>
      </w:r>
    </w:p>
    <w:p w14:paraId="29016F1E" w14:textId="77777777" w:rsidR="00566F5A" w:rsidRDefault="00566F5A" w:rsidP="00EF45AA">
      <w:pPr>
        <w:spacing w:after="120" w:line="240" w:lineRule="auto"/>
        <w:ind w:leftChars="0" w:left="0" w:firstLineChars="0" w:firstLine="0"/>
        <w:jc w:val="center"/>
      </w:pPr>
    </w:p>
    <w:p w14:paraId="2E19A632" w14:textId="77777777" w:rsidR="00572222" w:rsidRDefault="006F65A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</w:t>
      </w:r>
      <w:r w:rsidR="002A2F0E">
        <w:rPr>
          <w:color w:val="000000"/>
        </w:rPr>
        <w:t>nto</w:t>
      </w:r>
      <w:r>
        <w:rPr>
          <w:color w:val="000000"/>
        </w:rPr>
        <w:t>.</w:t>
      </w:r>
      <w:r w:rsidR="002A2F0E">
        <w:rPr>
          <w:color w:val="000000"/>
        </w:rPr>
        <w:t>centomo</w:t>
      </w:r>
      <w:r>
        <w:rPr>
          <w:color w:val="000000"/>
        </w:rPr>
        <w:t>96</w:t>
      </w:r>
      <w:r w:rsidR="002A2F0E">
        <w:rPr>
          <w:color w:val="000000"/>
        </w:rPr>
        <w:t>@</w:t>
      </w:r>
      <w:r>
        <w:rPr>
          <w:color w:val="000000"/>
        </w:rPr>
        <w:t>gmail.com</w:t>
      </w:r>
      <w:r w:rsidR="00350DB2">
        <w:rPr>
          <w:color w:val="000000"/>
        </w:rPr>
        <w:tab/>
      </w:r>
    </w:p>
    <w:p w14:paraId="510C6B2F" w14:textId="77777777" w:rsidR="00572222" w:rsidRDefault="00572222">
      <w:pPr>
        <w:spacing w:after="0" w:line="240" w:lineRule="auto"/>
        <w:ind w:left="0" w:hanging="2"/>
      </w:pPr>
    </w:p>
    <w:p w14:paraId="7B78CBB2" w14:textId="77777777" w:rsidR="00064D1F" w:rsidRDefault="00064D1F">
      <w:pPr>
        <w:spacing w:after="0" w:line="240" w:lineRule="auto"/>
        <w:ind w:left="0" w:hanging="2"/>
      </w:pPr>
    </w:p>
    <w:p w14:paraId="3B363B83" w14:textId="0C560F50" w:rsidR="00FE61A5" w:rsidRPr="009B222B" w:rsidRDefault="00AB5624" w:rsidP="00FE61A5">
      <w:pPr>
        <w:spacing w:after="0" w:line="240" w:lineRule="auto"/>
        <w:ind w:leftChars="0" w:left="0" w:firstLineChars="0" w:firstLine="0"/>
      </w:pPr>
      <w:r>
        <w:t xml:space="preserve">Debido al aumento en la demanda de alimentos con efectos benéficos sobre la salud, la </w:t>
      </w:r>
      <w:r w:rsidRPr="00454125">
        <w:t xml:space="preserve">industria alimentaria se ha centrado en desarrollar productos que contengan ingredientes que promuevan la salud. </w:t>
      </w:r>
      <w:r>
        <w:t>L</w:t>
      </w:r>
      <w:r w:rsidRPr="00454125">
        <w:t>os agentes bioactivos</w:t>
      </w:r>
      <w:r w:rsidR="00632E45">
        <w:t xml:space="preserve"> (AB)</w:t>
      </w:r>
      <w:r>
        <w:t xml:space="preserve"> tales como probióticos y antioxidantes, </w:t>
      </w:r>
      <w:r w:rsidRPr="00454125">
        <w:t xml:space="preserve">se consideran </w:t>
      </w:r>
      <w:r>
        <w:t>ingredientes potenciales</w:t>
      </w:r>
      <w:r w:rsidRPr="00454125">
        <w:t xml:space="preserve"> </w:t>
      </w:r>
      <w:r w:rsidR="00B24C02">
        <w:t>para alimentos</w:t>
      </w:r>
      <w:r w:rsidRPr="00AF2062">
        <w:t xml:space="preserve"> funcionales</w:t>
      </w:r>
      <w:r w:rsidR="00CB32BB" w:rsidRPr="00AF2062">
        <w:t>.</w:t>
      </w:r>
      <w:r w:rsidR="00FD2C10">
        <w:t xml:space="preserve"> </w:t>
      </w:r>
      <w:r w:rsidR="00653A07">
        <w:t>El objetivo del trabajo fue</w:t>
      </w:r>
      <w:r w:rsidR="003853C6">
        <w:t xml:space="preserve"> obtener ingredientes </w:t>
      </w:r>
      <w:r w:rsidR="00326828">
        <w:t>funcionales a partir de</w:t>
      </w:r>
      <w:r w:rsidR="00430EBD">
        <w:t xml:space="preserve"> la</w:t>
      </w:r>
      <w:r w:rsidR="00326828">
        <w:t xml:space="preserve"> </w:t>
      </w:r>
      <w:r w:rsidR="00430EBD">
        <w:t xml:space="preserve">microencapsulación de </w:t>
      </w:r>
      <w:r w:rsidR="00326828">
        <w:t xml:space="preserve">estos </w:t>
      </w:r>
      <w:r w:rsidR="00632E45">
        <w:t>AB</w:t>
      </w:r>
      <w:r w:rsidR="00326828">
        <w:t xml:space="preserve"> </w:t>
      </w:r>
      <w:r w:rsidR="00632E45">
        <w:t>y</w:t>
      </w:r>
      <w:r w:rsidR="00326828">
        <w:t xml:space="preserve"> evaluar su </w:t>
      </w:r>
      <w:r w:rsidR="009F2FF3">
        <w:t>citotoxicidad y citoprotección</w:t>
      </w:r>
      <w:r w:rsidR="000D4F77">
        <w:t>.</w:t>
      </w:r>
      <w:r w:rsidR="00653A07">
        <w:t xml:space="preserve"> </w:t>
      </w:r>
      <w:r w:rsidR="000D4F77">
        <w:rPr>
          <w:rFonts w:cstheme="minorHAnsi"/>
        </w:rPr>
        <w:t>S</w:t>
      </w:r>
      <w:r w:rsidR="00064D1F" w:rsidRPr="003021E0">
        <w:rPr>
          <w:rFonts w:cstheme="minorHAnsi"/>
        </w:rPr>
        <w:t>e obtuvieron</w:t>
      </w:r>
      <w:r w:rsidR="00DE5566">
        <w:rPr>
          <w:rFonts w:cstheme="minorHAnsi"/>
        </w:rPr>
        <w:t xml:space="preserve"> </w:t>
      </w:r>
      <w:r w:rsidR="000D735B" w:rsidRPr="003021E0">
        <w:rPr>
          <w:rFonts w:cstheme="minorHAnsi"/>
        </w:rPr>
        <w:t xml:space="preserve">cuatro formulaciones </w:t>
      </w:r>
      <w:r w:rsidR="000D735B">
        <w:rPr>
          <w:rFonts w:cstheme="minorHAnsi"/>
        </w:rPr>
        <w:t xml:space="preserve">de </w:t>
      </w:r>
      <w:proofErr w:type="spellStart"/>
      <w:r w:rsidR="000D735B">
        <w:rPr>
          <w:rFonts w:cstheme="minorHAnsi"/>
        </w:rPr>
        <w:t>co-encapsulados</w:t>
      </w:r>
      <w:proofErr w:type="spellEnd"/>
      <w:r w:rsidR="000D735B">
        <w:rPr>
          <w:rFonts w:cstheme="minorHAnsi"/>
        </w:rPr>
        <w:t xml:space="preserve"> de </w:t>
      </w:r>
      <w:r w:rsidR="000D735B" w:rsidRPr="003021E0">
        <w:rPr>
          <w:rFonts w:cstheme="minorHAnsi"/>
        </w:rPr>
        <w:t xml:space="preserve">levadura </w:t>
      </w:r>
      <w:r w:rsidR="000D735B" w:rsidRPr="00462537">
        <w:t>potencialmente probiótica nativa de</w:t>
      </w:r>
      <w:r w:rsidR="000D735B" w:rsidRPr="00462537">
        <w:rPr>
          <w:spacing w:val="1"/>
        </w:rPr>
        <w:t xml:space="preserve"> </w:t>
      </w:r>
      <w:r w:rsidR="000D735B" w:rsidRPr="00462537">
        <w:t>lactosuero,</w:t>
      </w:r>
      <w:r w:rsidR="000D735B" w:rsidRPr="00462537">
        <w:rPr>
          <w:spacing w:val="9"/>
        </w:rPr>
        <w:t xml:space="preserve"> </w:t>
      </w:r>
      <w:proofErr w:type="spellStart"/>
      <w:r w:rsidR="000D735B" w:rsidRPr="00462537">
        <w:rPr>
          <w:i/>
        </w:rPr>
        <w:t>Kluyveromyces</w:t>
      </w:r>
      <w:proofErr w:type="spellEnd"/>
      <w:r w:rsidR="000D735B" w:rsidRPr="00462537">
        <w:rPr>
          <w:i/>
          <w:spacing w:val="7"/>
        </w:rPr>
        <w:t xml:space="preserve"> </w:t>
      </w:r>
      <w:proofErr w:type="spellStart"/>
      <w:r w:rsidR="000D735B" w:rsidRPr="00462537">
        <w:rPr>
          <w:i/>
        </w:rPr>
        <w:t>marxianus</w:t>
      </w:r>
      <w:proofErr w:type="spellEnd"/>
      <w:r w:rsidR="000D735B" w:rsidRPr="00462537">
        <w:rPr>
          <w:i/>
          <w:spacing w:val="11"/>
        </w:rPr>
        <w:t xml:space="preserve"> </w:t>
      </w:r>
      <w:r w:rsidR="000D735B" w:rsidRPr="00462537">
        <w:rPr>
          <w:i/>
        </w:rPr>
        <w:t>VM004</w:t>
      </w:r>
      <w:r w:rsidR="000D735B" w:rsidRPr="00462537">
        <w:rPr>
          <w:i/>
          <w:spacing w:val="11"/>
        </w:rPr>
        <w:t xml:space="preserve"> </w:t>
      </w:r>
      <w:r w:rsidR="000D735B" w:rsidRPr="00462537">
        <w:t>y</w:t>
      </w:r>
      <w:r w:rsidR="000D735B" w:rsidRPr="00462537">
        <w:rPr>
          <w:spacing w:val="10"/>
        </w:rPr>
        <w:t xml:space="preserve"> extracto </w:t>
      </w:r>
      <w:proofErr w:type="spellStart"/>
      <w:r w:rsidR="000D735B" w:rsidRPr="00462537">
        <w:rPr>
          <w:spacing w:val="10"/>
        </w:rPr>
        <w:t>polifenólico</w:t>
      </w:r>
      <w:proofErr w:type="spellEnd"/>
      <w:r w:rsidR="00C71256" w:rsidRPr="00462537">
        <w:rPr>
          <w:spacing w:val="10"/>
        </w:rPr>
        <w:t xml:space="preserve"> antioxidante</w:t>
      </w:r>
      <w:r w:rsidR="000D735B">
        <w:rPr>
          <w:rFonts w:cstheme="minorHAnsi"/>
          <w:spacing w:val="10"/>
        </w:rPr>
        <w:t xml:space="preserve"> de</w:t>
      </w:r>
      <w:r w:rsidR="000D735B" w:rsidRPr="003021E0">
        <w:rPr>
          <w:rFonts w:cstheme="minorHAnsi"/>
          <w:spacing w:val="10"/>
        </w:rPr>
        <w:t xml:space="preserve"> tegumento de maní </w:t>
      </w:r>
      <w:r w:rsidR="000D735B">
        <w:rPr>
          <w:rFonts w:cstheme="minorHAnsi"/>
          <w:spacing w:val="10"/>
        </w:rPr>
        <w:t>(</w:t>
      </w:r>
      <w:proofErr w:type="spellStart"/>
      <w:r w:rsidR="000D735B">
        <w:rPr>
          <w:rFonts w:cstheme="minorHAnsi"/>
          <w:spacing w:val="10"/>
        </w:rPr>
        <w:t>EPTg</w:t>
      </w:r>
      <w:proofErr w:type="spellEnd"/>
      <w:r w:rsidR="000D735B">
        <w:rPr>
          <w:rFonts w:cstheme="minorHAnsi"/>
          <w:spacing w:val="10"/>
        </w:rPr>
        <w:t>), mediante microencapsulación por</w:t>
      </w:r>
      <w:r w:rsidR="00AE36B1">
        <w:rPr>
          <w:rFonts w:cstheme="minorHAnsi"/>
          <w:spacing w:val="10"/>
        </w:rPr>
        <w:t xml:space="preserve"> </w:t>
      </w:r>
      <w:r w:rsidR="00DE5566">
        <w:rPr>
          <w:rFonts w:cstheme="minorHAnsi"/>
        </w:rPr>
        <w:t xml:space="preserve">secado </w:t>
      </w:r>
      <w:r w:rsidR="00EC6DD7">
        <w:rPr>
          <w:rFonts w:cstheme="minorHAnsi"/>
        </w:rPr>
        <w:t>por aspersión</w:t>
      </w:r>
      <w:r w:rsidR="00064D1F" w:rsidRPr="003021E0">
        <w:rPr>
          <w:rFonts w:cstheme="minorHAnsi"/>
        </w:rPr>
        <w:t xml:space="preserve"> utilizando </w:t>
      </w:r>
      <w:r w:rsidR="00064D1F">
        <w:rPr>
          <w:rFonts w:eastAsia="Calibri" w:cstheme="minorHAnsi"/>
        </w:rPr>
        <w:t xml:space="preserve">como material de pared </w:t>
      </w:r>
      <w:r w:rsidR="00A04E64" w:rsidRPr="00036A66">
        <w:rPr>
          <w:rFonts w:eastAsia="Calibri" w:cstheme="minorHAnsi"/>
        </w:rPr>
        <w:t>WPC</w:t>
      </w:r>
      <w:r w:rsidR="00064D1F" w:rsidRPr="00036A66">
        <w:rPr>
          <w:rFonts w:eastAsia="Calibri" w:cstheme="minorHAnsi"/>
        </w:rPr>
        <w:t xml:space="preserve"> y </w:t>
      </w:r>
      <w:r w:rsidR="00A25AFF" w:rsidRPr="00036A66">
        <w:rPr>
          <w:rFonts w:eastAsia="Calibri" w:cstheme="minorHAnsi"/>
        </w:rPr>
        <w:t xml:space="preserve">quitosano </w:t>
      </w:r>
      <w:r w:rsidR="00A25AFF" w:rsidRPr="00036A66">
        <w:t>derivatizado con glucosamina (Ch</w:t>
      </w:r>
      <w:r w:rsidR="00B6407F">
        <w:t>D</w:t>
      </w:r>
      <w:r w:rsidR="00A25AFF" w:rsidRPr="00036A66">
        <w:t>)</w:t>
      </w:r>
      <w:r w:rsidR="00AE2E51" w:rsidRPr="00036A66">
        <w:t>.</w:t>
      </w:r>
      <w:r w:rsidR="00036A66" w:rsidRPr="00036A66">
        <w:t xml:space="preserve"> </w:t>
      </w:r>
      <w:r w:rsidR="000348B4">
        <w:t xml:space="preserve">Todas las F </w:t>
      </w:r>
      <w:r w:rsidR="00C548EF">
        <w:t>con</w:t>
      </w:r>
      <w:r w:rsidR="00B24C02">
        <w:t>staron de</w:t>
      </w:r>
      <w:r w:rsidR="00C548EF">
        <w:t xml:space="preserve"> WPC 30</w:t>
      </w:r>
      <w:r w:rsidR="00D0535F">
        <w:t xml:space="preserve"> </w:t>
      </w:r>
      <w:r w:rsidR="00C548EF">
        <w:t xml:space="preserve">%p/v y </w:t>
      </w:r>
      <w:r w:rsidR="000348B4">
        <w:t>levadura</w:t>
      </w:r>
      <w:r w:rsidR="00C548EF">
        <w:t xml:space="preserve"> 10</w:t>
      </w:r>
      <w:r w:rsidR="00C548EF" w:rsidRPr="000348B4">
        <w:rPr>
          <w:vertAlign w:val="superscript"/>
        </w:rPr>
        <w:t>9</w:t>
      </w:r>
      <w:r w:rsidR="00A06F96">
        <w:t xml:space="preserve"> UFC/</w:t>
      </w:r>
      <w:proofErr w:type="spellStart"/>
      <w:r w:rsidR="00A06F96">
        <w:t>mL</w:t>
      </w:r>
      <w:proofErr w:type="spellEnd"/>
      <w:r w:rsidR="00A06F96">
        <w:t xml:space="preserve"> y </w:t>
      </w:r>
      <w:r w:rsidR="00A06F96" w:rsidRPr="00922652">
        <w:t xml:space="preserve">se </w:t>
      </w:r>
      <w:r w:rsidR="00B24C02">
        <w:t>adicionaron con</w:t>
      </w:r>
      <w:r w:rsidR="00C548EF">
        <w:t xml:space="preserve"> </w:t>
      </w:r>
      <w:proofErr w:type="spellStart"/>
      <w:r w:rsidR="00C548EF">
        <w:t>EPTg</w:t>
      </w:r>
      <w:proofErr w:type="spellEnd"/>
      <w:r w:rsidR="00C548EF">
        <w:t xml:space="preserve"> 0,25</w:t>
      </w:r>
      <w:r w:rsidR="00D0535F">
        <w:t xml:space="preserve"> </w:t>
      </w:r>
      <w:r w:rsidR="00C548EF">
        <w:t>%p/v</w:t>
      </w:r>
      <w:r w:rsidR="00C71256">
        <w:t xml:space="preserve"> (F1)</w:t>
      </w:r>
      <w:r w:rsidR="00C548EF">
        <w:t xml:space="preserve">; </w:t>
      </w:r>
      <w:proofErr w:type="spellStart"/>
      <w:r w:rsidR="00C548EF">
        <w:t>EPTg</w:t>
      </w:r>
      <w:proofErr w:type="spellEnd"/>
      <w:r w:rsidR="00192BB2">
        <w:t xml:space="preserve"> </w:t>
      </w:r>
      <w:r w:rsidR="00C548EF">
        <w:t>0,25</w:t>
      </w:r>
      <w:r w:rsidR="00D0535F">
        <w:t xml:space="preserve"> </w:t>
      </w:r>
      <w:r w:rsidR="00C548EF">
        <w:t>%p/v y Ch</w:t>
      </w:r>
      <w:r w:rsidR="00B6407F">
        <w:t>D</w:t>
      </w:r>
      <w:r w:rsidR="00C548EF">
        <w:t xml:space="preserve"> 1</w:t>
      </w:r>
      <w:r w:rsidR="00D0535F">
        <w:t xml:space="preserve"> </w:t>
      </w:r>
      <w:r w:rsidR="00C548EF">
        <w:t>%p/v</w:t>
      </w:r>
      <w:r w:rsidR="00C71256">
        <w:t xml:space="preserve"> (F2)</w:t>
      </w:r>
      <w:r w:rsidR="00C548EF">
        <w:t>;</w:t>
      </w:r>
      <w:r w:rsidR="00192BB2">
        <w:t xml:space="preserve"> </w:t>
      </w:r>
      <w:proofErr w:type="spellStart"/>
      <w:r w:rsidR="00C548EF">
        <w:t>EPTg</w:t>
      </w:r>
      <w:proofErr w:type="spellEnd"/>
      <w:r w:rsidR="00C548EF">
        <w:t xml:space="preserve"> 0,125</w:t>
      </w:r>
      <w:r w:rsidR="00D0535F">
        <w:t xml:space="preserve"> </w:t>
      </w:r>
      <w:r w:rsidR="00C548EF">
        <w:t>%p/v</w:t>
      </w:r>
      <w:r w:rsidR="00C71256">
        <w:t xml:space="preserve"> (F3)</w:t>
      </w:r>
      <w:r w:rsidR="00C548EF">
        <w:t xml:space="preserve">, </w:t>
      </w:r>
      <w:proofErr w:type="spellStart"/>
      <w:r w:rsidR="00C548EF">
        <w:t>EPTg</w:t>
      </w:r>
      <w:proofErr w:type="spellEnd"/>
      <w:r w:rsidR="00C548EF">
        <w:t xml:space="preserve"> 0,125</w:t>
      </w:r>
      <w:r w:rsidR="00D0535F">
        <w:t xml:space="preserve"> </w:t>
      </w:r>
      <w:r w:rsidR="00C548EF">
        <w:t>%p/v y Ch</w:t>
      </w:r>
      <w:r w:rsidR="00B6407F">
        <w:t>D</w:t>
      </w:r>
      <w:r w:rsidR="00C548EF">
        <w:t xml:space="preserve"> 1</w:t>
      </w:r>
      <w:r w:rsidR="00D0535F">
        <w:t xml:space="preserve"> </w:t>
      </w:r>
      <w:r w:rsidR="00C548EF">
        <w:t>%p/v</w:t>
      </w:r>
      <w:r w:rsidR="004B276E">
        <w:t xml:space="preserve"> (F4)</w:t>
      </w:r>
      <w:r w:rsidR="00C548EF">
        <w:t>.</w:t>
      </w:r>
      <w:r w:rsidR="00DB1F7E">
        <w:t xml:space="preserve"> </w:t>
      </w:r>
      <w:bookmarkStart w:id="0" w:name="_Hlk106006124"/>
      <w:r w:rsidR="00D0535F">
        <w:t>Se determinó eficiencia de microencapsul</w:t>
      </w:r>
      <w:r w:rsidR="007A1E80">
        <w:t>a</w:t>
      </w:r>
      <w:r w:rsidR="00D0535F">
        <w:t xml:space="preserve">ción por </w:t>
      </w:r>
      <w:r w:rsidR="0003648B">
        <w:t xml:space="preserve">recuento </w:t>
      </w:r>
      <w:r w:rsidR="00D0535F">
        <w:t>de levaduras</w:t>
      </w:r>
      <w:r w:rsidR="00A154C7">
        <w:t xml:space="preserve"> (%EM</w:t>
      </w:r>
      <w:r w:rsidR="00A154C7">
        <w:rPr>
          <w:vertAlign w:val="subscript"/>
        </w:rPr>
        <w:t>Lev</w:t>
      </w:r>
      <w:r w:rsidR="003E4B50" w:rsidRPr="00E87292">
        <w:t>)</w:t>
      </w:r>
      <w:r w:rsidR="00A154C7">
        <w:rPr>
          <w:vertAlign w:val="subscript"/>
        </w:rPr>
        <w:t xml:space="preserve"> </w:t>
      </w:r>
      <w:r w:rsidR="00D0535F">
        <w:t xml:space="preserve">y </w:t>
      </w:r>
      <w:r w:rsidR="00D0535F" w:rsidRPr="00E87292">
        <w:t>polifenoles totales</w:t>
      </w:r>
      <w:r w:rsidR="00D0535F">
        <w:t xml:space="preserve"> por g de polvo</w:t>
      </w:r>
      <w:r w:rsidR="003E4B50">
        <w:t xml:space="preserve"> (%EM</w:t>
      </w:r>
      <w:r w:rsidR="003E4B50">
        <w:rPr>
          <w:vertAlign w:val="subscript"/>
        </w:rPr>
        <w:t>EPTg</w:t>
      </w:r>
      <w:r w:rsidR="003E4B50">
        <w:t>)</w:t>
      </w:r>
      <w:r w:rsidR="00D0535F">
        <w:t>. Se estudió la morfología de la</w:t>
      </w:r>
      <w:r w:rsidR="000A7BB9">
        <w:t>s</w:t>
      </w:r>
      <w:r w:rsidR="00D0535F">
        <w:t xml:space="preserve"> microcápsulas por SEM. </w:t>
      </w:r>
      <w:r w:rsidR="006812BB" w:rsidRPr="00036A66">
        <w:t>Se evaluó</w:t>
      </w:r>
      <w:r w:rsidR="0058194D" w:rsidRPr="00036A66">
        <w:t xml:space="preserve"> </w:t>
      </w:r>
      <w:bookmarkEnd w:id="0"/>
      <w:r w:rsidR="0058194D" w:rsidRPr="00036A66">
        <w:t xml:space="preserve">la citotoxicidad y citoprotección de </w:t>
      </w:r>
      <w:r w:rsidR="00970496" w:rsidRPr="00036A66">
        <w:t xml:space="preserve">las </w:t>
      </w:r>
      <w:r w:rsidR="00B6407F">
        <w:t>F</w:t>
      </w:r>
      <w:r w:rsidR="00B6407F" w:rsidRPr="00036A66">
        <w:t xml:space="preserve"> </w:t>
      </w:r>
      <w:r w:rsidR="00970496" w:rsidRPr="00036A66">
        <w:t xml:space="preserve">en células </w:t>
      </w:r>
      <w:r w:rsidR="005C4AFC" w:rsidRPr="00036A66">
        <w:t xml:space="preserve">normales </w:t>
      </w:r>
      <w:r w:rsidR="005C4AFC">
        <w:t>de</w:t>
      </w:r>
      <w:r w:rsidR="005C4AFC" w:rsidRPr="00454125">
        <w:t xml:space="preserve"> epitelio intestinal </w:t>
      </w:r>
      <w:r w:rsidR="004B276E" w:rsidRPr="00454125">
        <w:t>murino (</w:t>
      </w:r>
      <w:r w:rsidR="005C4AFC" w:rsidRPr="00454125">
        <w:t>IEC-18)</w:t>
      </w:r>
      <w:r w:rsidR="0010494B" w:rsidRPr="0010494B">
        <w:t xml:space="preserve"> </w:t>
      </w:r>
      <w:r w:rsidR="0010494B">
        <w:t>mediante</w:t>
      </w:r>
      <w:r w:rsidR="0010494B" w:rsidRPr="00454125">
        <w:t xml:space="preserve"> el ensayo de exclusión de célul</w:t>
      </w:r>
      <w:r w:rsidR="0010494B">
        <w:t xml:space="preserve">as muertas con </w:t>
      </w:r>
      <w:proofErr w:type="spellStart"/>
      <w:r w:rsidR="0010494B">
        <w:t>trypan</w:t>
      </w:r>
      <w:proofErr w:type="spellEnd"/>
      <w:r w:rsidR="0010494B">
        <w:t xml:space="preserve"> blue (TB)</w:t>
      </w:r>
      <w:r w:rsidR="006A6044">
        <w:t>.</w:t>
      </w:r>
      <w:r w:rsidR="005C4AFC" w:rsidRPr="00454125">
        <w:t xml:space="preserve"> </w:t>
      </w:r>
      <w:r w:rsidR="00D0535F">
        <w:t xml:space="preserve">Se evaluó la citotoxicidad y el efecto citoprotector </w:t>
      </w:r>
      <w:r w:rsidR="00C475AC">
        <w:t xml:space="preserve">de las </w:t>
      </w:r>
      <w:r w:rsidR="00B24C02">
        <w:t>formulacio</w:t>
      </w:r>
      <w:r w:rsidR="00462537">
        <w:t>n</w:t>
      </w:r>
      <w:r w:rsidR="00B24C02">
        <w:t>es</w:t>
      </w:r>
      <w:r w:rsidR="00C475AC">
        <w:t xml:space="preserve"> a </w:t>
      </w:r>
      <w:r w:rsidR="00C475AC">
        <w:rPr>
          <w:rFonts w:eastAsia="Times New Roman" w:cs="Calibri"/>
        </w:rPr>
        <w:t>t</w:t>
      </w:r>
      <w:r w:rsidR="00C475AC" w:rsidRPr="00C52843">
        <w:rPr>
          <w:rFonts w:eastAsia="Times New Roman" w:cs="Calibri"/>
          <w:vertAlign w:val="subscript"/>
        </w:rPr>
        <w:t>0</w:t>
      </w:r>
      <w:r w:rsidR="00C475AC">
        <w:rPr>
          <w:rFonts w:eastAsia="Times New Roman" w:cs="Calibri"/>
        </w:rPr>
        <w:t xml:space="preserve"> y a 60 días de almacenamiento a 4°C y temperatura ambiente (TA).</w:t>
      </w:r>
      <w:r w:rsidR="00C475AC" w:rsidRPr="00300EE6">
        <w:rPr>
          <w:rFonts w:eastAsia="Times New Roman" w:cs="Calibri"/>
        </w:rPr>
        <w:t xml:space="preserve"> </w:t>
      </w:r>
      <w:r w:rsidR="00CC3B45" w:rsidRPr="00300EE6">
        <w:rPr>
          <w:rFonts w:eastAsia="Times New Roman" w:cs="Calibri"/>
        </w:rPr>
        <w:t>Para evaluar la citotoxicidad</w:t>
      </w:r>
      <w:r w:rsidR="001B3C86">
        <w:rPr>
          <w:rFonts w:eastAsia="Times New Roman" w:cs="Calibri"/>
        </w:rPr>
        <w:t xml:space="preserve">, se trató a las células con cada </w:t>
      </w:r>
      <w:r w:rsidR="0032532B">
        <w:rPr>
          <w:rFonts w:eastAsia="Times New Roman" w:cs="Calibri"/>
        </w:rPr>
        <w:t>formulación</w:t>
      </w:r>
      <w:r w:rsidR="006E34D1">
        <w:rPr>
          <w:rFonts w:eastAsia="Times New Roman" w:cs="Calibri"/>
        </w:rPr>
        <w:t xml:space="preserve"> </w:t>
      </w:r>
      <w:r w:rsidR="00CC3B45">
        <w:rPr>
          <w:rFonts w:eastAsia="Times New Roman" w:cs="Calibri"/>
        </w:rPr>
        <w:t xml:space="preserve">en </w:t>
      </w:r>
      <w:r w:rsidR="00CC3B45" w:rsidRPr="00FB1C49">
        <w:rPr>
          <w:rFonts w:eastAsia="Times New Roman" w:cs="Calibri"/>
        </w:rPr>
        <w:t>concentraciones entre 100 y 2100</w:t>
      </w:r>
      <w:r w:rsidR="00C475AC">
        <w:rPr>
          <w:rFonts w:eastAsia="Times New Roman" w:cs="Calibri"/>
        </w:rPr>
        <w:t xml:space="preserve"> </w:t>
      </w:r>
      <w:r w:rsidR="00CC3B45" w:rsidRPr="00FB1C49">
        <w:rPr>
          <w:rFonts w:eastAsia="Times New Roman" w:cs="Calibri"/>
        </w:rPr>
        <w:t>µg/</w:t>
      </w:r>
      <w:proofErr w:type="spellStart"/>
      <w:r w:rsidR="00CC3B45" w:rsidRPr="00FB1C49">
        <w:rPr>
          <w:rFonts w:eastAsia="Times New Roman" w:cs="Calibri"/>
        </w:rPr>
        <w:t>mL</w:t>
      </w:r>
      <w:proofErr w:type="spellEnd"/>
      <w:r w:rsidR="00634D87">
        <w:t>.</w:t>
      </w:r>
      <w:r w:rsidR="00965BF0">
        <w:t xml:space="preserve"> </w:t>
      </w:r>
      <w:r w:rsidR="00CB3F6A" w:rsidRPr="00454125">
        <w:t>El efecto citotóxico se expresó como porcentaje de viabilidad respecto al control</w:t>
      </w:r>
      <w:r w:rsidR="00CB3F6A">
        <w:t xml:space="preserve">. </w:t>
      </w:r>
      <w:r w:rsidR="002E706F">
        <w:t xml:space="preserve">La </w:t>
      </w:r>
      <w:r w:rsidR="002E706F" w:rsidRPr="00FA1A3E">
        <w:t>citoprotección</w:t>
      </w:r>
      <w:r w:rsidR="002E706F">
        <w:t xml:space="preserve"> </w:t>
      </w:r>
      <w:r w:rsidR="002E706F" w:rsidRPr="00FA1A3E">
        <w:t>fue</w:t>
      </w:r>
      <w:r w:rsidR="002E706F">
        <w:t xml:space="preserve"> evaluada</w:t>
      </w:r>
      <w:r w:rsidR="002E706F" w:rsidRPr="00FA1A3E">
        <w:t xml:space="preserve"> frente </w:t>
      </w:r>
      <w:r w:rsidR="006D595D">
        <w:t>a</w:t>
      </w:r>
      <w:r w:rsidR="002E706F" w:rsidRPr="00FA1A3E">
        <w:t xml:space="preserve"> menadiona (MEN)</w:t>
      </w:r>
      <w:r w:rsidR="003D47DE" w:rsidRPr="003D47DE">
        <w:t xml:space="preserve"> </w:t>
      </w:r>
      <w:r w:rsidR="003D47DE" w:rsidRPr="00FA1A3E">
        <w:t>inductor del estrés oxidativo</w:t>
      </w:r>
      <w:r w:rsidR="003D47DE">
        <w:t>,</w:t>
      </w:r>
      <w:r w:rsidR="003D47DE" w:rsidRPr="00FA1A3E">
        <w:t xml:space="preserve"> 7</w:t>
      </w:r>
      <w:r w:rsidR="003D47DE">
        <w:sym w:font="Symbol" w:char="F06D"/>
      </w:r>
      <w:r w:rsidR="003D47DE" w:rsidRPr="00FA1A3E">
        <w:t>M</w:t>
      </w:r>
      <w:r w:rsidR="00E6480A">
        <w:t>.</w:t>
      </w:r>
      <w:r w:rsidR="003D47DE" w:rsidRPr="00FA1A3E">
        <w:t xml:space="preserve"> </w:t>
      </w:r>
      <w:r w:rsidR="003D3B43">
        <w:t>S</w:t>
      </w:r>
      <w:r w:rsidR="002E706F">
        <w:t xml:space="preserve">e realizó </w:t>
      </w:r>
      <w:proofErr w:type="spellStart"/>
      <w:r w:rsidR="002E706F">
        <w:t>co-tratamiento</w:t>
      </w:r>
      <w:proofErr w:type="spellEnd"/>
      <w:r w:rsidR="003D3B43">
        <w:t xml:space="preserve"> de MEN y </w:t>
      </w:r>
      <w:r w:rsidR="00025357">
        <w:t xml:space="preserve">microcápsulas </w:t>
      </w:r>
      <w:r w:rsidR="001151EC">
        <w:t>incubando las</w:t>
      </w:r>
      <w:r w:rsidR="002E706F">
        <w:t xml:space="preserve"> células </w:t>
      </w:r>
      <w:r w:rsidR="005D2558">
        <w:t>24h</w:t>
      </w:r>
      <w:r w:rsidR="0096136E">
        <w:t xml:space="preserve"> con </w:t>
      </w:r>
      <w:r w:rsidR="0096136E">
        <w:rPr>
          <w:rFonts w:eastAsia="Times New Roman" w:cs="Calibri"/>
        </w:rPr>
        <w:t xml:space="preserve">cada formulación </w:t>
      </w:r>
      <w:r w:rsidR="00B24C02">
        <w:rPr>
          <w:rFonts w:eastAsia="Times New Roman" w:cs="Calibri"/>
        </w:rPr>
        <w:t xml:space="preserve">a </w:t>
      </w:r>
      <w:r w:rsidR="0096136E">
        <w:rPr>
          <w:rFonts w:eastAsia="Times New Roman" w:cs="Calibri"/>
        </w:rPr>
        <w:t>t</w:t>
      </w:r>
      <w:r w:rsidR="0096136E" w:rsidRPr="00C52843">
        <w:rPr>
          <w:rFonts w:eastAsia="Times New Roman" w:cs="Calibri"/>
          <w:vertAlign w:val="subscript"/>
        </w:rPr>
        <w:t>0</w:t>
      </w:r>
      <w:r w:rsidR="0096136E">
        <w:rPr>
          <w:rFonts w:eastAsia="Times New Roman" w:cs="Calibri"/>
        </w:rPr>
        <w:t xml:space="preserve"> y a 60 días de almacenamiento a 4°C y TA</w:t>
      </w:r>
      <w:r w:rsidR="005D2558">
        <w:t xml:space="preserve"> </w:t>
      </w:r>
      <w:r w:rsidR="002C1F37">
        <w:t xml:space="preserve">con </w:t>
      </w:r>
      <w:r w:rsidR="002E706F">
        <w:t xml:space="preserve">concentraciones </w:t>
      </w:r>
      <w:r w:rsidR="003D3B43">
        <w:t xml:space="preserve">de </w:t>
      </w:r>
      <w:r w:rsidR="002E706F">
        <w:t xml:space="preserve">75 y 150 </w:t>
      </w:r>
      <w:r w:rsidR="002E706F">
        <w:sym w:font="Symbol" w:char="F06D"/>
      </w:r>
      <w:r w:rsidR="002E706F">
        <w:t>g/</w:t>
      </w:r>
      <w:proofErr w:type="spellStart"/>
      <w:r w:rsidR="002E706F">
        <w:t>mL</w:t>
      </w:r>
      <w:proofErr w:type="spellEnd"/>
      <w:r w:rsidR="002E706F">
        <w:t>.</w:t>
      </w:r>
      <w:r w:rsidR="00FB40CA">
        <w:t xml:space="preserve"> </w:t>
      </w:r>
      <w:r w:rsidR="004D1DE2">
        <w:t>La</w:t>
      </w:r>
      <w:r w:rsidR="00193BE6">
        <w:t>s</w:t>
      </w:r>
      <w:r w:rsidR="004D1DE2">
        <w:t xml:space="preserve"> </w:t>
      </w:r>
      <w:r w:rsidR="00DB3A09">
        <w:t>%EM</w:t>
      </w:r>
      <w:r w:rsidR="00DB3A09">
        <w:rPr>
          <w:vertAlign w:val="subscript"/>
        </w:rPr>
        <w:t>Lev</w:t>
      </w:r>
      <w:r w:rsidR="00DB3A09">
        <w:t xml:space="preserve"> </w:t>
      </w:r>
      <w:r w:rsidR="004D1DE2">
        <w:t>fue</w:t>
      </w:r>
      <w:r w:rsidR="00193BE6">
        <w:t>ron</w:t>
      </w:r>
      <w:r w:rsidR="004D1DE2">
        <w:t xml:space="preserve"> </w:t>
      </w:r>
      <w:r w:rsidR="004C1FA1">
        <w:t>97,56</w:t>
      </w:r>
      <w:r w:rsidR="00A154C7">
        <w:t xml:space="preserve">%, 85,68%, </w:t>
      </w:r>
      <w:r w:rsidR="00A154C7">
        <w:lastRenderedPageBreak/>
        <w:t>72,89% y 61,70%</w:t>
      </w:r>
      <w:r w:rsidR="00193BE6">
        <w:t xml:space="preserve"> y </w:t>
      </w:r>
      <w:r w:rsidR="00993671">
        <w:t xml:space="preserve">las </w:t>
      </w:r>
      <w:r w:rsidR="00193BE6">
        <w:t>%EM</w:t>
      </w:r>
      <w:r w:rsidR="00993671">
        <w:rPr>
          <w:vertAlign w:val="subscript"/>
        </w:rPr>
        <w:t xml:space="preserve">EPTg </w:t>
      </w:r>
      <w:r w:rsidR="00D13395">
        <w:t>70,12%, 62,</w:t>
      </w:r>
      <w:r w:rsidR="00DD2BE6">
        <w:t>16%, 63,30%, 61,35%</w:t>
      </w:r>
      <w:r w:rsidR="00993671">
        <w:t xml:space="preserve"> </w:t>
      </w:r>
      <w:r w:rsidR="00DD2BE6">
        <w:t>para F1, F2, F3 y F4 respectivamente.</w:t>
      </w:r>
      <w:r w:rsidR="00993671">
        <w:rPr>
          <w:vertAlign w:val="subscript"/>
        </w:rPr>
        <w:t xml:space="preserve"> </w:t>
      </w:r>
      <w:r w:rsidR="001636E7">
        <w:t>Las micro</w:t>
      </w:r>
      <w:r w:rsidR="007A0083">
        <w:t>cáp</w:t>
      </w:r>
      <w:r w:rsidR="001636E7">
        <w:t>sulas mostraron forma esférica, con irregularidades y superficie rugosa.</w:t>
      </w:r>
      <w:r w:rsidR="00FE61A5" w:rsidRPr="00FE61A5">
        <w:t xml:space="preserve"> </w:t>
      </w:r>
      <w:r w:rsidR="00FE61A5">
        <w:t>En cuanto a la citotoxicidad</w:t>
      </w:r>
      <w:r w:rsidR="00FE61A5">
        <w:rPr>
          <w:rFonts w:cstheme="minorHAnsi"/>
        </w:rPr>
        <w:t xml:space="preserve"> </w:t>
      </w:r>
      <w:r w:rsidR="00FE61A5" w:rsidRPr="00C12214">
        <w:rPr>
          <w:rFonts w:cstheme="minorHAnsi"/>
        </w:rPr>
        <w:t>F1</w:t>
      </w:r>
      <w:r w:rsidR="00FE61A5">
        <w:rPr>
          <w:rFonts w:cstheme="minorHAnsi"/>
        </w:rPr>
        <w:t>, F2, F3 y F4</w:t>
      </w:r>
      <w:r w:rsidR="00FE61A5" w:rsidRPr="00C12214">
        <w:rPr>
          <w:rFonts w:cstheme="minorHAnsi"/>
        </w:rPr>
        <w:t xml:space="preserve"> en t</w:t>
      </w:r>
      <w:r w:rsidR="00FE61A5" w:rsidRPr="00307C5D">
        <w:rPr>
          <w:rFonts w:cstheme="minorHAnsi"/>
          <w:vertAlign w:val="subscript"/>
        </w:rPr>
        <w:t>0</w:t>
      </w:r>
      <w:r w:rsidR="00FE61A5" w:rsidRPr="00C12214">
        <w:rPr>
          <w:rFonts w:cstheme="minorHAnsi"/>
        </w:rPr>
        <w:t xml:space="preserve"> </w:t>
      </w:r>
      <w:r w:rsidR="00FE61A5">
        <w:rPr>
          <w:rFonts w:cstheme="minorHAnsi"/>
        </w:rPr>
        <w:t xml:space="preserve">no </w:t>
      </w:r>
      <w:r w:rsidR="00FE61A5" w:rsidRPr="00C12214">
        <w:rPr>
          <w:rFonts w:cstheme="minorHAnsi"/>
        </w:rPr>
        <w:t>present</w:t>
      </w:r>
      <w:r w:rsidR="00FE61A5">
        <w:rPr>
          <w:rFonts w:cstheme="minorHAnsi"/>
        </w:rPr>
        <w:t>aron</w:t>
      </w:r>
      <w:r w:rsidR="00FE61A5" w:rsidRPr="00C12214">
        <w:rPr>
          <w:rFonts w:cstheme="minorHAnsi"/>
        </w:rPr>
        <w:t xml:space="preserve"> diferencias significativas con el control </w:t>
      </w:r>
      <w:r w:rsidR="00FE61A5">
        <w:rPr>
          <w:rFonts w:cstheme="minorHAnsi"/>
        </w:rPr>
        <w:t xml:space="preserve">a concentraciones </w:t>
      </w:r>
      <w:r w:rsidR="00FE61A5">
        <w:rPr>
          <w:rFonts w:cstheme="minorHAnsi"/>
        </w:rPr>
        <w:sym w:font="Symbol" w:char="F020"/>
      </w:r>
      <w:r w:rsidR="00FE61A5">
        <w:rPr>
          <w:rFonts w:cstheme="minorHAnsi"/>
        </w:rPr>
        <w:sym w:font="Symbol" w:char="F0A3"/>
      </w:r>
      <w:r w:rsidR="00FE61A5">
        <w:rPr>
          <w:rFonts w:cstheme="minorHAnsi"/>
        </w:rPr>
        <w:t>a 100, 360, 75, 360 µg/</w:t>
      </w:r>
      <w:proofErr w:type="spellStart"/>
      <w:r w:rsidR="00FE61A5">
        <w:rPr>
          <w:rFonts w:cstheme="minorHAnsi"/>
        </w:rPr>
        <w:t>mL</w:t>
      </w:r>
      <w:proofErr w:type="spellEnd"/>
      <w:r w:rsidR="00FE61A5">
        <w:rPr>
          <w:rFonts w:cstheme="minorHAnsi"/>
        </w:rPr>
        <w:t xml:space="preserve"> respectivamente. </w:t>
      </w:r>
      <w:r w:rsidR="00FE61A5">
        <w:t>R</w:t>
      </w:r>
      <w:r w:rsidR="00FE61A5" w:rsidRPr="00B25785">
        <w:t>especto al almacenamiento</w:t>
      </w:r>
      <w:r w:rsidR="00FE61A5">
        <w:t>,</w:t>
      </w:r>
      <w:r w:rsidR="00FE61A5" w:rsidRPr="00B25785">
        <w:t xml:space="preserve"> </w:t>
      </w:r>
      <w:r w:rsidR="00FE61A5">
        <w:t>todas las F</w:t>
      </w:r>
      <w:r w:rsidR="00FE61A5" w:rsidRPr="00B25785">
        <w:t xml:space="preserve"> </w:t>
      </w:r>
      <w:r w:rsidR="00FE61A5">
        <w:t>disminuyeron su</w:t>
      </w:r>
      <w:r w:rsidR="00FE61A5" w:rsidRPr="00B25785">
        <w:t xml:space="preserve"> citotoxicidad a los 60 días</w:t>
      </w:r>
      <w:r w:rsidR="00643E93" w:rsidRPr="00643E93">
        <w:t xml:space="preserve"> </w:t>
      </w:r>
      <w:r w:rsidR="00643E93">
        <w:t>observándose un efecto concentración dependient</w:t>
      </w:r>
      <w:r w:rsidR="00643E93" w:rsidRPr="00C475AC">
        <w:t>e</w:t>
      </w:r>
      <w:r w:rsidR="00643E93" w:rsidRPr="00B90644">
        <w:t>.</w:t>
      </w:r>
      <w:r w:rsidR="00FE61A5">
        <w:t xml:space="preserve"> </w:t>
      </w:r>
      <w:r w:rsidR="00FE61A5" w:rsidRPr="00747D91">
        <w:t>Respecto a la citoprotección</w:t>
      </w:r>
      <w:r w:rsidR="00FE61A5">
        <w:t>,</w:t>
      </w:r>
      <w:r w:rsidR="00FE61A5" w:rsidRPr="00747D91">
        <w:t xml:space="preserve"> F1</w:t>
      </w:r>
      <w:r w:rsidR="00643E93">
        <w:t>, F3</w:t>
      </w:r>
      <w:r w:rsidR="00FE61A5" w:rsidRPr="00747D91">
        <w:t xml:space="preserve"> y F4 resultaron citoprotectoras frente a MEN en ambas concentraciones</w:t>
      </w:r>
      <w:r w:rsidR="00FE61A5">
        <w:t>, tiempos</w:t>
      </w:r>
      <w:r w:rsidR="00FE61A5" w:rsidRPr="00747D91">
        <w:t xml:space="preserve"> y temperaturas probadas. F2 resultó </w:t>
      </w:r>
      <w:proofErr w:type="spellStart"/>
      <w:r w:rsidR="00FE61A5" w:rsidRPr="00747D91">
        <w:t>citoprotectora</w:t>
      </w:r>
      <w:proofErr w:type="spellEnd"/>
      <w:r w:rsidR="00FE61A5" w:rsidRPr="00747D91">
        <w:t xml:space="preserve"> en todas las variables analizadas excepto a 75 µg/</w:t>
      </w:r>
      <w:proofErr w:type="spellStart"/>
      <w:r w:rsidR="00FE61A5" w:rsidRPr="00747D91">
        <w:t>mL</w:t>
      </w:r>
      <w:proofErr w:type="spellEnd"/>
      <w:r w:rsidR="00FE61A5" w:rsidRPr="00747D91">
        <w:t xml:space="preserve"> cuando </w:t>
      </w:r>
      <w:r w:rsidR="00FE61A5">
        <w:t>fue almacenada por 60 días a TA</w:t>
      </w:r>
      <w:r w:rsidR="00FE61A5" w:rsidRPr="000C4FBC">
        <w:t>, necesitando mayor concentración (150</w:t>
      </w:r>
      <w:r w:rsidR="00FE61A5">
        <w:t xml:space="preserve"> </w:t>
      </w:r>
      <w:r w:rsidR="00FE61A5" w:rsidRPr="000C4FBC">
        <w:t>µg/</w:t>
      </w:r>
      <w:proofErr w:type="spellStart"/>
      <w:r w:rsidR="00FE61A5" w:rsidRPr="000C4FBC">
        <w:t>mL</w:t>
      </w:r>
      <w:proofErr w:type="spellEnd"/>
      <w:r w:rsidR="00FE61A5" w:rsidRPr="000C4FBC">
        <w:t xml:space="preserve">) para proteger a las células. </w:t>
      </w:r>
      <w:r w:rsidR="00FE61A5" w:rsidRPr="009B222B">
        <w:t>Las microcápsulas producidas podrían considerarse ingrediente</w:t>
      </w:r>
      <w:r w:rsidR="00FE61A5">
        <w:t>s</w:t>
      </w:r>
      <w:r w:rsidR="00FE61A5" w:rsidRPr="009B222B">
        <w:t xml:space="preserve"> funcional</w:t>
      </w:r>
      <w:r w:rsidR="00FE61A5">
        <w:t>es</w:t>
      </w:r>
      <w:r w:rsidR="00FE61A5" w:rsidRPr="009B222B">
        <w:t xml:space="preserve"> para alimentos, ya que no presentan citotoxicidad y ejercen citoprotección frente a un agente estresor demostrando su capacidad antioxidante </w:t>
      </w:r>
      <w:r w:rsidR="00FE61A5" w:rsidRPr="00314EC9">
        <w:rPr>
          <w:i/>
          <w:iCs/>
        </w:rPr>
        <w:t>in vitro</w:t>
      </w:r>
      <w:r w:rsidR="00FE61A5" w:rsidRPr="009B222B">
        <w:t xml:space="preserve"> sumado al potencial efecto probiótico de </w:t>
      </w:r>
      <w:r w:rsidR="00FE61A5" w:rsidRPr="009B222B">
        <w:rPr>
          <w:i/>
          <w:iCs/>
        </w:rPr>
        <w:t xml:space="preserve">K. </w:t>
      </w:r>
      <w:proofErr w:type="spellStart"/>
      <w:r w:rsidR="00FE61A5" w:rsidRPr="009B222B">
        <w:rPr>
          <w:i/>
          <w:iCs/>
        </w:rPr>
        <w:t>marxianus</w:t>
      </w:r>
      <w:proofErr w:type="spellEnd"/>
      <w:r w:rsidR="00FE61A5" w:rsidRPr="009B222B">
        <w:rPr>
          <w:i/>
          <w:iCs/>
        </w:rPr>
        <w:t xml:space="preserve"> </w:t>
      </w:r>
      <w:r w:rsidR="00FE61A5" w:rsidRPr="009B222B">
        <w:t>VM004</w:t>
      </w:r>
      <w:r w:rsidR="00FE61A5">
        <w:t>.</w:t>
      </w:r>
      <w:r w:rsidR="00FE61A5" w:rsidRPr="009B222B">
        <w:t xml:space="preserve"> </w:t>
      </w:r>
    </w:p>
    <w:p w14:paraId="0AE6342E" w14:textId="2A95E316" w:rsidR="00C475AC" w:rsidRDefault="00C475AC" w:rsidP="009E4E80">
      <w:pPr>
        <w:spacing w:after="0" w:line="240" w:lineRule="auto"/>
        <w:ind w:left="0" w:hanging="2"/>
      </w:pPr>
    </w:p>
    <w:p w14:paraId="170462E4" w14:textId="2CC52DFA" w:rsidR="00DB7D41" w:rsidRPr="00264F33" w:rsidRDefault="00DB7D41" w:rsidP="00DB7D41">
      <w:pPr>
        <w:spacing w:after="0" w:line="240" w:lineRule="auto"/>
        <w:ind w:left="0" w:hanging="2"/>
        <w:rPr>
          <w:iCs/>
          <w:color w:val="FF0000"/>
        </w:rPr>
      </w:pPr>
      <w:r>
        <w:t xml:space="preserve">Palabras Clave: </w:t>
      </w:r>
      <w:bookmarkStart w:id="1" w:name="_GoBack"/>
      <w:r w:rsidRPr="00653A07">
        <w:t xml:space="preserve">Microencapsulación, </w:t>
      </w:r>
      <w:proofErr w:type="spellStart"/>
      <w:r w:rsidR="00CA4FB2" w:rsidRPr="00CA4FB2">
        <w:rPr>
          <w:i/>
          <w:iCs/>
        </w:rPr>
        <w:t>K</w:t>
      </w:r>
      <w:r w:rsidRPr="00CA4FB2">
        <w:rPr>
          <w:bCs/>
          <w:i/>
          <w:iCs/>
          <w:noProof/>
        </w:rPr>
        <w:t>lu</w:t>
      </w:r>
      <w:r w:rsidRPr="00653A07">
        <w:rPr>
          <w:bCs/>
          <w:i/>
          <w:noProof/>
        </w:rPr>
        <w:t>yveromyces</w:t>
      </w:r>
      <w:proofErr w:type="spellEnd"/>
      <w:r w:rsidRPr="00653A07">
        <w:rPr>
          <w:bCs/>
          <w:i/>
          <w:noProof/>
        </w:rPr>
        <w:t xml:space="preserve"> marxianus </w:t>
      </w:r>
      <w:r w:rsidRPr="00653A07">
        <w:rPr>
          <w:bCs/>
          <w:iCs/>
          <w:noProof/>
        </w:rPr>
        <w:t>VM004</w:t>
      </w:r>
      <w:r w:rsidRPr="00653A07">
        <w:rPr>
          <w:bCs/>
          <w:i/>
          <w:noProof/>
        </w:rPr>
        <w:t xml:space="preserve">, </w:t>
      </w:r>
      <w:r w:rsidRPr="00653A07">
        <w:rPr>
          <w:bCs/>
          <w:iCs/>
          <w:noProof/>
        </w:rPr>
        <w:t>antioxidantes</w:t>
      </w:r>
      <w:r>
        <w:rPr>
          <w:bCs/>
          <w:iCs/>
          <w:noProof/>
        </w:rPr>
        <w:t>, células IEC-18</w:t>
      </w:r>
      <w:bookmarkEnd w:id="1"/>
    </w:p>
    <w:p w14:paraId="2CFC10FB" w14:textId="77777777" w:rsidR="00C446D6" w:rsidRPr="00B92F9F" w:rsidRDefault="00C446D6" w:rsidP="00462537">
      <w:pPr>
        <w:spacing w:after="0" w:line="240" w:lineRule="auto"/>
        <w:ind w:leftChars="0" w:left="0" w:firstLineChars="0" w:firstLine="0"/>
        <w:rPr>
          <w:color w:val="FF0000"/>
        </w:rPr>
      </w:pPr>
    </w:p>
    <w:sectPr w:rsidR="00C446D6" w:rsidRPr="00B92F9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05074" w14:textId="77777777" w:rsidR="00E43BEB" w:rsidRDefault="00E43BE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4C1A9A" w14:textId="77777777" w:rsidR="00E43BEB" w:rsidRDefault="00E43BE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BDBE8" w14:textId="77777777" w:rsidR="00E43BEB" w:rsidRDefault="00E43BE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AD55BC" w14:textId="77777777" w:rsidR="00E43BEB" w:rsidRDefault="00E43BE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2D69" w14:textId="77777777" w:rsidR="00572222" w:rsidRDefault="00350DB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59BCF62" wp14:editId="256FCB6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966D8"/>
    <w:multiLevelType w:val="hybridMultilevel"/>
    <w:tmpl w:val="A5460344"/>
    <w:lvl w:ilvl="0" w:tplc="9A84406E">
      <w:start w:val="1"/>
      <w:numFmt w:val="decimal"/>
      <w:lvlText w:val="(%1)"/>
      <w:lvlJc w:val="left"/>
      <w:pPr>
        <w:ind w:left="358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22"/>
    <w:rsid w:val="00002ABD"/>
    <w:rsid w:val="000152C7"/>
    <w:rsid w:val="00025357"/>
    <w:rsid w:val="000348B4"/>
    <w:rsid w:val="0003648B"/>
    <w:rsid w:val="00036A66"/>
    <w:rsid w:val="00045250"/>
    <w:rsid w:val="000547C3"/>
    <w:rsid w:val="00064670"/>
    <w:rsid w:val="00064D1F"/>
    <w:rsid w:val="00084946"/>
    <w:rsid w:val="00092D1D"/>
    <w:rsid w:val="000A7BB9"/>
    <w:rsid w:val="000C4FBC"/>
    <w:rsid w:val="000D4F77"/>
    <w:rsid w:val="000D735B"/>
    <w:rsid w:val="00100D57"/>
    <w:rsid w:val="0010494B"/>
    <w:rsid w:val="001151EC"/>
    <w:rsid w:val="00135F7C"/>
    <w:rsid w:val="00153527"/>
    <w:rsid w:val="00154419"/>
    <w:rsid w:val="0015710D"/>
    <w:rsid w:val="001636E7"/>
    <w:rsid w:val="00165C08"/>
    <w:rsid w:val="00166EEB"/>
    <w:rsid w:val="0018627F"/>
    <w:rsid w:val="00192BB2"/>
    <w:rsid w:val="00193BE6"/>
    <w:rsid w:val="001A2270"/>
    <w:rsid w:val="001A7D58"/>
    <w:rsid w:val="001B3C86"/>
    <w:rsid w:val="001B721D"/>
    <w:rsid w:val="001D423B"/>
    <w:rsid w:val="001E37B1"/>
    <w:rsid w:val="001E75B7"/>
    <w:rsid w:val="0020263A"/>
    <w:rsid w:val="00223007"/>
    <w:rsid w:val="00245BC4"/>
    <w:rsid w:val="00264F33"/>
    <w:rsid w:val="002705F4"/>
    <w:rsid w:val="002A2F0E"/>
    <w:rsid w:val="002A4207"/>
    <w:rsid w:val="002B43D7"/>
    <w:rsid w:val="002C1F37"/>
    <w:rsid w:val="002D2E02"/>
    <w:rsid w:val="002E20A1"/>
    <w:rsid w:val="002E706F"/>
    <w:rsid w:val="00303DA5"/>
    <w:rsid w:val="003046FC"/>
    <w:rsid w:val="00305164"/>
    <w:rsid w:val="00306DE0"/>
    <w:rsid w:val="00307C5D"/>
    <w:rsid w:val="00314EC9"/>
    <w:rsid w:val="00320C36"/>
    <w:rsid w:val="0032532B"/>
    <w:rsid w:val="00326828"/>
    <w:rsid w:val="00336AAB"/>
    <w:rsid w:val="00342B38"/>
    <w:rsid w:val="00350DB2"/>
    <w:rsid w:val="003527E9"/>
    <w:rsid w:val="00367762"/>
    <w:rsid w:val="00371746"/>
    <w:rsid w:val="003853C6"/>
    <w:rsid w:val="00391521"/>
    <w:rsid w:val="003A0CBF"/>
    <w:rsid w:val="003A1FF6"/>
    <w:rsid w:val="003B76BA"/>
    <w:rsid w:val="003C0CCB"/>
    <w:rsid w:val="003D3B43"/>
    <w:rsid w:val="003D47DE"/>
    <w:rsid w:val="003D5180"/>
    <w:rsid w:val="003D7CC4"/>
    <w:rsid w:val="003E4B50"/>
    <w:rsid w:val="003F7BCF"/>
    <w:rsid w:val="004051DE"/>
    <w:rsid w:val="00416FBB"/>
    <w:rsid w:val="004228D7"/>
    <w:rsid w:val="00430EBD"/>
    <w:rsid w:val="0043720A"/>
    <w:rsid w:val="00462537"/>
    <w:rsid w:val="00466D6E"/>
    <w:rsid w:val="00473E0C"/>
    <w:rsid w:val="00494EF6"/>
    <w:rsid w:val="004B276E"/>
    <w:rsid w:val="004C1FA1"/>
    <w:rsid w:val="004D0B1B"/>
    <w:rsid w:val="004D1DE2"/>
    <w:rsid w:val="004D750E"/>
    <w:rsid w:val="004F2A8C"/>
    <w:rsid w:val="005137F1"/>
    <w:rsid w:val="005258E1"/>
    <w:rsid w:val="00566F5A"/>
    <w:rsid w:val="00571177"/>
    <w:rsid w:val="00572222"/>
    <w:rsid w:val="0058194D"/>
    <w:rsid w:val="005906D6"/>
    <w:rsid w:val="005C4AFC"/>
    <w:rsid w:val="005D13C2"/>
    <w:rsid w:val="005D2558"/>
    <w:rsid w:val="005E38D8"/>
    <w:rsid w:val="005F7755"/>
    <w:rsid w:val="006041C0"/>
    <w:rsid w:val="00605C94"/>
    <w:rsid w:val="00627614"/>
    <w:rsid w:val="00632E45"/>
    <w:rsid w:val="00634D87"/>
    <w:rsid w:val="00643E93"/>
    <w:rsid w:val="00653A07"/>
    <w:rsid w:val="006627E7"/>
    <w:rsid w:val="00671BA3"/>
    <w:rsid w:val="00671EE9"/>
    <w:rsid w:val="00674FBC"/>
    <w:rsid w:val="00680FC5"/>
    <w:rsid w:val="006812BB"/>
    <w:rsid w:val="006A6044"/>
    <w:rsid w:val="006D595D"/>
    <w:rsid w:val="006E2CC9"/>
    <w:rsid w:val="006E34D1"/>
    <w:rsid w:val="006F6355"/>
    <w:rsid w:val="006F65AB"/>
    <w:rsid w:val="007110EB"/>
    <w:rsid w:val="00744DA9"/>
    <w:rsid w:val="00745C40"/>
    <w:rsid w:val="007477C2"/>
    <w:rsid w:val="00747D91"/>
    <w:rsid w:val="007679C8"/>
    <w:rsid w:val="007A0083"/>
    <w:rsid w:val="007A0DEE"/>
    <w:rsid w:val="007A1E80"/>
    <w:rsid w:val="007A5E45"/>
    <w:rsid w:val="007B513D"/>
    <w:rsid w:val="00802802"/>
    <w:rsid w:val="00817C9C"/>
    <w:rsid w:val="008320BB"/>
    <w:rsid w:val="00852F1B"/>
    <w:rsid w:val="00875C62"/>
    <w:rsid w:val="008B3A62"/>
    <w:rsid w:val="00907581"/>
    <w:rsid w:val="00922652"/>
    <w:rsid w:val="009321BA"/>
    <w:rsid w:val="00935ADF"/>
    <w:rsid w:val="009365CA"/>
    <w:rsid w:val="0096136E"/>
    <w:rsid w:val="00965BF0"/>
    <w:rsid w:val="00965F7C"/>
    <w:rsid w:val="00970496"/>
    <w:rsid w:val="00974615"/>
    <w:rsid w:val="00984D63"/>
    <w:rsid w:val="0098514D"/>
    <w:rsid w:val="00993671"/>
    <w:rsid w:val="0099413A"/>
    <w:rsid w:val="00997D77"/>
    <w:rsid w:val="009B222B"/>
    <w:rsid w:val="009B4840"/>
    <w:rsid w:val="009E301D"/>
    <w:rsid w:val="009E4E80"/>
    <w:rsid w:val="009F1253"/>
    <w:rsid w:val="009F1833"/>
    <w:rsid w:val="009F2FF3"/>
    <w:rsid w:val="00A04E64"/>
    <w:rsid w:val="00A06F96"/>
    <w:rsid w:val="00A12AF1"/>
    <w:rsid w:val="00A154C7"/>
    <w:rsid w:val="00A17F6F"/>
    <w:rsid w:val="00A22C13"/>
    <w:rsid w:val="00A25476"/>
    <w:rsid w:val="00A25AFF"/>
    <w:rsid w:val="00A32DB4"/>
    <w:rsid w:val="00A65455"/>
    <w:rsid w:val="00A66FCD"/>
    <w:rsid w:val="00A7363A"/>
    <w:rsid w:val="00A75506"/>
    <w:rsid w:val="00A84A81"/>
    <w:rsid w:val="00A91107"/>
    <w:rsid w:val="00A92EF0"/>
    <w:rsid w:val="00AB5624"/>
    <w:rsid w:val="00AC5137"/>
    <w:rsid w:val="00AC7169"/>
    <w:rsid w:val="00AE2E51"/>
    <w:rsid w:val="00AE36B1"/>
    <w:rsid w:val="00AF0A12"/>
    <w:rsid w:val="00AF7E15"/>
    <w:rsid w:val="00B24C02"/>
    <w:rsid w:val="00B25785"/>
    <w:rsid w:val="00B55F03"/>
    <w:rsid w:val="00B6407F"/>
    <w:rsid w:val="00B77E9C"/>
    <w:rsid w:val="00B85AC8"/>
    <w:rsid w:val="00B90644"/>
    <w:rsid w:val="00B92406"/>
    <w:rsid w:val="00B92F9F"/>
    <w:rsid w:val="00B9352C"/>
    <w:rsid w:val="00BA61F6"/>
    <w:rsid w:val="00BC64AF"/>
    <w:rsid w:val="00BF2EFF"/>
    <w:rsid w:val="00BF4EDC"/>
    <w:rsid w:val="00C11F7B"/>
    <w:rsid w:val="00C446D6"/>
    <w:rsid w:val="00C472BC"/>
    <w:rsid w:val="00C475AC"/>
    <w:rsid w:val="00C52843"/>
    <w:rsid w:val="00C548EF"/>
    <w:rsid w:val="00C61D9E"/>
    <w:rsid w:val="00C71256"/>
    <w:rsid w:val="00C82BF0"/>
    <w:rsid w:val="00C87445"/>
    <w:rsid w:val="00CA4FB2"/>
    <w:rsid w:val="00CB32BB"/>
    <w:rsid w:val="00CB3F6A"/>
    <w:rsid w:val="00CC3B45"/>
    <w:rsid w:val="00CF2483"/>
    <w:rsid w:val="00D02CC7"/>
    <w:rsid w:val="00D0535F"/>
    <w:rsid w:val="00D13395"/>
    <w:rsid w:val="00D23103"/>
    <w:rsid w:val="00D26E93"/>
    <w:rsid w:val="00D423E1"/>
    <w:rsid w:val="00D45288"/>
    <w:rsid w:val="00D60709"/>
    <w:rsid w:val="00D85C66"/>
    <w:rsid w:val="00DA22EB"/>
    <w:rsid w:val="00DB1F7E"/>
    <w:rsid w:val="00DB3050"/>
    <w:rsid w:val="00DB3A09"/>
    <w:rsid w:val="00DB42FC"/>
    <w:rsid w:val="00DB7D41"/>
    <w:rsid w:val="00DC7B14"/>
    <w:rsid w:val="00DD2BE6"/>
    <w:rsid w:val="00DD3FF7"/>
    <w:rsid w:val="00DE0940"/>
    <w:rsid w:val="00DE5566"/>
    <w:rsid w:val="00DF5A68"/>
    <w:rsid w:val="00DF6BBC"/>
    <w:rsid w:val="00E014FF"/>
    <w:rsid w:val="00E0154F"/>
    <w:rsid w:val="00E258D1"/>
    <w:rsid w:val="00E321D0"/>
    <w:rsid w:val="00E43BEB"/>
    <w:rsid w:val="00E6480A"/>
    <w:rsid w:val="00E87292"/>
    <w:rsid w:val="00EA28BA"/>
    <w:rsid w:val="00EA3537"/>
    <w:rsid w:val="00EB0D3F"/>
    <w:rsid w:val="00EB172D"/>
    <w:rsid w:val="00EB1849"/>
    <w:rsid w:val="00EC6DD7"/>
    <w:rsid w:val="00EC7FB0"/>
    <w:rsid w:val="00ED0A82"/>
    <w:rsid w:val="00EF45AA"/>
    <w:rsid w:val="00EF4BEE"/>
    <w:rsid w:val="00F0344F"/>
    <w:rsid w:val="00F232F2"/>
    <w:rsid w:val="00F30861"/>
    <w:rsid w:val="00F62DBF"/>
    <w:rsid w:val="00F73387"/>
    <w:rsid w:val="00F74BCB"/>
    <w:rsid w:val="00F77DBE"/>
    <w:rsid w:val="00FB40CA"/>
    <w:rsid w:val="00FD2C10"/>
    <w:rsid w:val="00FD34AE"/>
    <w:rsid w:val="00FE34A9"/>
    <w:rsid w:val="00FE61A5"/>
    <w:rsid w:val="00FF3C4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A8BB"/>
  <w15:docId w15:val="{C10C7A8D-AD3A-4E27-9CD5-FDA2DF8D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849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4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4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42F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2F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15352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49C203-DE19-443F-8AF8-00AE6D65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6</cp:revision>
  <dcterms:created xsi:type="dcterms:W3CDTF">2022-06-30T12:10:00Z</dcterms:created>
  <dcterms:modified xsi:type="dcterms:W3CDTF">2022-07-02T02:49:00Z</dcterms:modified>
</cp:coreProperties>
</file>