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5F93" w14:textId="1B211523" w:rsidR="009F73AB" w:rsidRPr="00C17DE8" w:rsidRDefault="008A44DF">
      <w:pPr>
        <w:spacing w:after="0" w:line="259" w:lineRule="auto"/>
        <w:ind w:left="0" w:right="7" w:firstLine="0"/>
        <w:jc w:val="center"/>
        <w:rPr>
          <w:rFonts w:ascii="Arial" w:hAnsi="Arial" w:cs="Arial"/>
          <w:sz w:val="24"/>
          <w:szCs w:val="24"/>
        </w:rPr>
      </w:pPr>
      <w:r w:rsidRPr="00C17DE8">
        <w:rPr>
          <w:rFonts w:ascii="Arial" w:hAnsi="Arial" w:cs="Arial"/>
          <w:b/>
          <w:sz w:val="24"/>
          <w:szCs w:val="24"/>
        </w:rPr>
        <w:t xml:space="preserve">Compensación </w:t>
      </w:r>
      <w:r>
        <w:rPr>
          <w:rFonts w:ascii="Arial" w:hAnsi="Arial" w:cs="Arial"/>
          <w:b/>
          <w:sz w:val="24"/>
          <w:szCs w:val="24"/>
        </w:rPr>
        <w:t>e</w:t>
      </w:r>
      <w:r w:rsidRPr="00C17DE8">
        <w:rPr>
          <w:rFonts w:ascii="Arial" w:hAnsi="Arial" w:cs="Arial"/>
          <w:b/>
          <w:sz w:val="24"/>
          <w:szCs w:val="24"/>
        </w:rPr>
        <w:t>ntalpía-</w:t>
      </w:r>
      <w:r>
        <w:rPr>
          <w:rFonts w:ascii="Arial" w:hAnsi="Arial" w:cs="Arial"/>
          <w:b/>
          <w:sz w:val="24"/>
          <w:szCs w:val="24"/>
        </w:rPr>
        <w:t>e</w:t>
      </w:r>
      <w:r w:rsidRPr="00C17DE8">
        <w:rPr>
          <w:rFonts w:ascii="Arial" w:hAnsi="Arial" w:cs="Arial"/>
          <w:b/>
          <w:sz w:val="24"/>
          <w:szCs w:val="24"/>
        </w:rPr>
        <w:t xml:space="preserve">ntropía en el </w:t>
      </w:r>
      <w:r>
        <w:rPr>
          <w:rFonts w:ascii="Arial" w:hAnsi="Arial" w:cs="Arial"/>
          <w:b/>
          <w:sz w:val="24"/>
          <w:szCs w:val="24"/>
        </w:rPr>
        <w:t>e</w:t>
      </w:r>
      <w:r w:rsidRPr="00C17DE8">
        <w:rPr>
          <w:rFonts w:ascii="Arial" w:hAnsi="Arial" w:cs="Arial"/>
          <w:b/>
          <w:sz w:val="24"/>
          <w:szCs w:val="24"/>
        </w:rPr>
        <w:t xml:space="preserve">quilibrio </w:t>
      </w:r>
      <w:proofErr w:type="spellStart"/>
      <w:r>
        <w:rPr>
          <w:rFonts w:ascii="Arial" w:hAnsi="Arial" w:cs="Arial"/>
          <w:b/>
          <w:sz w:val="24"/>
          <w:szCs w:val="24"/>
        </w:rPr>
        <w:t>s</w:t>
      </w:r>
      <w:r w:rsidRPr="00C17DE8">
        <w:rPr>
          <w:rFonts w:ascii="Arial" w:hAnsi="Arial" w:cs="Arial"/>
          <w:b/>
          <w:sz w:val="24"/>
          <w:szCs w:val="24"/>
        </w:rPr>
        <w:t>orcional</w:t>
      </w:r>
      <w:proofErr w:type="spellEnd"/>
      <w:r w:rsidRPr="00C17DE8">
        <w:rPr>
          <w:rFonts w:ascii="Arial" w:hAnsi="Arial" w:cs="Arial"/>
          <w:b/>
          <w:sz w:val="24"/>
          <w:szCs w:val="24"/>
        </w:rPr>
        <w:t xml:space="preserve"> </w:t>
      </w:r>
    </w:p>
    <w:p w14:paraId="268F60CC" w14:textId="77777777" w:rsidR="009F73AB" w:rsidRPr="00C17DE8" w:rsidRDefault="008A44DF">
      <w:pPr>
        <w:spacing w:after="221" w:line="259" w:lineRule="auto"/>
        <w:ind w:left="55" w:right="0" w:firstLine="0"/>
        <w:jc w:val="center"/>
        <w:rPr>
          <w:rFonts w:ascii="Arial" w:hAnsi="Arial" w:cs="Arial"/>
          <w:sz w:val="24"/>
          <w:szCs w:val="24"/>
        </w:rPr>
      </w:pPr>
      <w:r w:rsidRPr="00C17DE8">
        <w:rPr>
          <w:rFonts w:ascii="Arial" w:hAnsi="Arial" w:cs="Arial"/>
          <w:b/>
          <w:sz w:val="24"/>
          <w:szCs w:val="24"/>
        </w:rPr>
        <w:t xml:space="preserve"> </w:t>
      </w:r>
    </w:p>
    <w:p w14:paraId="65813624" w14:textId="7307DA08" w:rsidR="009F73AB" w:rsidRDefault="008A44DF" w:rsidP="008A44DF">
      <w:pPr>
        <w:spacing w:after="306" w:line="259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C17DE8">
        <w:rPr>
          <w:rFonts w:ascii="Arial" w:hAnsi="Arial" w:cs="Arial"/>
          <w:sz w:val="24"/>
          <w:szCs w:val="24"/>
        </w:rPr>
        <w:t>Coscarello</w:t>
      </w:r>
      <w:proofErr w:type="spellEnd"/>
      <w:r w:rsidRPr="00C17DE8">
        <w:rPr>
          <w:rFonts w:ascii="Arial" w:hAnsi="Arial" w:cs="Arial"/>
          <w:sz w:val="24"/>
          <w:szCs w:val="24"/>
        </w:rPr>
        <w:t>, E</w:t>
      </w:r>
      <w:r w:rsidRPr="00C17DE8">
        <w:rPr>
          <w:rFonts w:ascii="Arial" w:hAnsi="Arial" w:cs="Arial"/>
          <w:sz w:val="24"/>
          <w:szCs w:val="24"/>
        </w:rPr>
        <w:t>N</w:t>
      </w:r>
      <w:r w:rsidR="00C17DE8">
        <w:rPr>
          <w:rFonts w:ascii="Arial" w:hAnsi="Arial" w:cs="Arial"/>
          <w:sz w:val="24"/>
          <w:szCs w:val="24"/>
        </w:rPr>
        <w:t xml:space="preserve"> (1)</w:t>
      </w:r>
      <w:r w:rsidRPr="00C17DE8">
        <w:rPr>
          <w:rFonts w:ascii="Arial" w:hAnsi="Arial" w:cs="Arial"/>
          <w:sz w:val="24"/>
          <w:szCs w:val="24"/>
        </w:rPr>
        <w:t xml:space="preserve">, </w:t>
      </w:r>
      <w:r w:rsidRPr="00C17DE8">
        <w:rPr>
          <w:rFonts w:ascii="Arial" w:hAnsi="Arial" w:cs="Arial"/>
          <w:bCs/>
          <w:sz w:val="24"/>
          <w:szCs w:val="24"/>
        </w:rPr>
        <w:t>Gómez Castro, M</w:t>
      </w:r>
      <w:r w:rsidRPr="00C17DE8">
        <w:rPr>
          <w:rFonts w:ascii="Arial" w:hAnsi="Arial" w:cs="Arial"/>
          <w:bCs/>
          <w:sz w:val="24"/>
          <w:szCs w:val="24"/>
        </w:rPr>
        <w:t>L</w:t>
      </w:r>
      <w:r w:rsidR="00C17DE8" w:rsidRPr="00C17DE8">
        <w:rPr>
          <w:rFonts w:ascii="Arial" w:hAnsi="Arial" w:cs="Arial"/>
          <w:bCs/>
          <w:sz w:val="24"/>
          <w:szCs w:val="24"/>
        </w:rPr>
        <w:t xml:space="preserve"> (1,2)</w:t>
      </w:r>
      <w:r w:rsidRPr="00C17DE8">
        <w:rPr>
          <w:rFonts w:ascii="Arial" w:hAnsi="Arial" w:cs="Arial"/>
          <w:bCs/>
          <w:sz w:val="24"/>
          <w:szCs w:val="24"/>
        </w:rPr>
        <w:t>,</w:t>
      </w:r>
      <w:r w:rsidRPr="00C17D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7DE8">
        <w:rPr>
          <w:rFonts w:ascii="Arial" w:hAnsi="Arial" w:cs="Arial"/>
          <w:sz w:val="24"/>
          <w:szCs w:val="24"/>
        </w:rPr>
        <w:t>Larregain</w:t>
      </w:r>
      <w:proofErr w:type="spellEnd"/>
      <w:r w:rsidRPr="00C17DE8">
        <w:rPr>
          <w:rFonts w:ascii="Arial" w:hAnsi="Arial" w:cs="Arial"/>
          <w:sz w:val="24"/>
          <w:szCs w:val="24"/>
        </w:rPr>
        <w:t>, C</w:t>
      </w:r>
      <w:r w:rsidR="00C17DE8">
        <w:rPr>
          <w:rFonts w:ascii="Arial" w:hAnsi="Arial" w:cs="Arial"/>
          <w:sz w:val="24"/>
          <w:szCs w:val="24"/>
        </w:rPr>
        <w:t xml:space="preserve"> (1)</w:t>
      </w:r>
      <w:r w:rsidRPr="00C17DE8">
        <w:rPr>
          <w:rFonts w:ascii="Arial" w:hAnsi="Arial" w:cs="Arial"/>
          <w:b/>
          <w:sz w:val="24"/>
          <w:szCs w:val="24"/>
        </w:rPr>
        <w:t xml:space="preserve">, </w:t>
      </w:r>
      <w:r w:rsidRPr="00C17DE8">
        <w:rPr>
          <w:rFonts w:ascii="Arial" w:hAnsi="Arial" w:cs="Arial"/>
          <w:sz w:val="24"/>
          <w:szCs w:val="24"/>
        </w:rPr>
        <w:t>Aguerre, R</w:t>
      </w:r>
      <w:r w:rsidRPr="00C17DE8">
        <w:rPr>
          <w:rFonts w:ascii="Arial" w:hAnsi="Arial" w:cs="Arial"/>
          <w:sz w:val="24"/>
          <w:szCs w:val="24"/>
        </w:rPr>
        <w:t>J</w:t>
      </w:r>
      <w:r w:rsidR="00C17DE8">
        <w:rPr>
          <w:rFonts w:ascii="Arial" w:hAnsi="Arial" w:cs="Arial"/>
          <w:sz w:val="24"/>
          <w:szCs w:val="24"/>
        </w:rPr>
        <w:t xml:space="preserve"> (1)</w:t>
      </w:r>
    </w:p>
    <w:p w14:paraId="48A60F6D" w14:textId="77777777" w:rsidR="00887D4D" w:rsidRPr="00887D4D" w:rsidRDefault="00887D4D" w:rsidP="00887D4D">
      <w:pPr>
        <w:pStyle w:val="NormalWeb"/>
        <w:numPr>
          <w:ilvl w:val="0"/>
          <w:numId w:val="2"/>
        </w:numPr>
        <w:spacing w:before="0" w:beforeAutospacing="0"/>
        <w:jc w:val="both"/>
        <w:rPr>
          <w:rStyle w:val="Textoennegrita"/>
          <w:rFonts w:ascii="Arial" w:hAnsi="Arial" w:cs="Arial"/>
          <w:b w:val="0"/>
          <w:bCs w:val="0"/>
        </w:rPr>
      </w:pPr>
      <w:r w:rsidRPr="00887D4D">
        <w:rPr>
          <w:rStyle w:val="Textoennegrita"/>
          <w:rFonts w:ascii="Arial" w:hAnsi="Arial" w:cs="Arial"/>
          <w:b w:val="0"/>
          <w:bCs w:val="0"/>
        </w:rPr>
        <w:t xml:space="preserve">Laboratorio de </w:t>
      </w:r>
      <w:proofErr w:type="spellStart"/>
      <w:r w:rsidRPr="00887D4D">
        <w:rPr>
          <w:rStyle w:val="Textoennegrita"/>
          <w:rFonts w:ascii="Arial" w:hAnsi="Arial" w:cs="Arial"/>
          <w:b w:val="0"/>
          <w:bCs w:val="0"/>
        </w:rPr>
        <w:t>Agroalimentos</w:t>
      </w:r>
      <w:proofErr w:type="spellEnd"/>
      <w:r w:rsidRPr="00887D4D">
        <w:rPr>
          <w:rStyle w:val="Textoennegrita"/>
          <w:rFonts w:ascii="Arial" w:hAnsi="Arial" w:cs="Arial"/>
          <w:b w:val="0"/>
          <w:bCs w:val="0"/>
        </w:rPr>
        <w:t>, Universidad de Morón; Machado 914, Provincia de Buenos Aires, Argentina.</w:t>
      </w:r>
    </w:p>
    <w:p w14:paraId="25AA9ACC" w14:textId="77777777" w:rsidR="00887D4D" w:rsidRPr="00887D4D" w:rsidRDefault="00887D4D" w:rsidP="00887D4D">
      <w:pPr>
        <w:pStyle w:val="NormalWeb"/>
        <w:numPr>
          <w:ilvl w:val="0"/>
          <w:numId w:val="2"/>
        </w:numPr>
        <w:jc w:val="both"/>
        <w:rPr>
          <w:rFonts w:ascii="Arial" w:hAnsi="Arial" w:cs="Arial"/>
          <w:b/>
          <w:bCs/>
          <w:position w:val="-1"/>
        </w:rPr>
      </w:pPr>
      <w:r w:rsidRPr="00887D4D">
        <w:rPr>
          <w:rStyle w:val="Textoennegrita"/>
          <w:rFonts w:ascii="Arial" w:hAnsi="Arial" w:cs="Arial"/>
          <w:b w:val="0"/>
          <w:bCs w:val="0"/>
        </w:rPr>
        <w:t>Catedra de Nutrición y Bromatología, Facultad de Farmacia y Bioquímica, Universidad de Buenos Aires; Junín 954, Ciudad Autónoma de Buenos Aires, Argentina.</w:t>
      </w:r>
    </w:p>
    <w:p w14:paraId="0CAE377D" w14:textId="7621CC7D" w:rsidR="009F73AB" w:rsidRPr="00C17DE8" w:rsidRDefault="00C17DE8" w:rsidP="00887D4D">
      <w:pPr>
        <w:spacing w:after="280" w:line="237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Dirección de e-mail: </w:t>
      </w:r>
      <w:r w:rsidR="008A44DF" w:rsidRPr="00C17DE8">
        <w:rPr>
          <w:rFonts w:ascii="Arial" w:hAnsi="Arial" w:cs="Arial"/>
          <w:bCs/>
          <w:color w:val="0563C1"/>
          <w:sz w:val="24"/>
          <w:szCs w:val="24"/>
          <w:u w:val="single" w:color="0563C1"/>
        </w:rPr>
        <w:t>ma</w:t>
      </w:r>
      <w:r w:rsidR="008A44DF" w:rsidRPr="00C17DE8">
        <w:rPr>
          <w:rFonts w:ascii="Arial" w:hAnsi="Arial" w:cs="Arial"/>
          <w:bCs/>
          <w:color w:val="0563C1"/>
          <w:sz w:val="24"/>
          <w:szCs w:val="24"/>
          <w:u w:val="single" w:color="0563C1"/>
        </w:rPr>
        <w:t>rialauragomezcastro81@gmail.com</w:t>
      </w:r>
    </w:p>
    <w:p w14:paraId="775AF071" w14:textId="227168BB" w:rsidR="00887D4D" w:rsidRDefault="008A44DF" w:rsidP="00887D4D">
      <w:pPr>
        <w:ind w:left="-15" w:right="0" w:firstLine="0"/>
        <w:rPr>
          <w:rFonts w:ascii="Arial" w:hAnsi="Arial" w:cs="Arial"/>
          <w:sz w:val="24"/>
          <w:szCs w:val="24"/>
        </w:rPr>
      </w:pPr>
      <w:r w:rsidRPr="00C17DE8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D17607" wp14:editId="25A9D4B8">
                <wp:simplePos x="0" y="0"/>
                <wp:positionH relativeFrom="page">
                  <wp:posOffset>1061009</wp:posOffset>
                </wp:positionH>
                <wp:positionV relativeFrom="page">
                  <wp:posOffset>174625</wp:posOffset>
                </wp:positionV>
                <wp:extent cx="5459517" cy="657225"/>
                <wp:effectExtent l="0" t="0" r="0" b="0"/>
                <wp:wrapTopAndBottom/>
                <wp:docPr id="933" name="Group 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517" cy="657225"/>
                          <a:chOff x="0" y="0"/>
                          <a:chExt cx="5459517" cy="65722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53973" y="276669"/>
                            <a:ext cx="580243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25914" w14:textId="77777777" w:rsidR="009F73AB" w:rsidRDefault="008A44D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8"/>
                                </w:rPr>
                                <w:t>VIII Congreso Internacional de Ciencia y Tecnología de Alimentos (CICYTAC 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319979" y="276669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CEDCA" w14:textId="77777777" w:rsidR="009F73AB" w:rsidRDefault="008A44D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83988" y="276669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61F60" w14:textId="77777777" w:rsidR="009F73AB" w:rsidRDefault="008A44D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20563" y="25322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E73D6" w14:textId="77777777" w:rsidR="009F73AB" w:rsidRDefault="008A44D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419735"/>
                            <a:ext cx="5438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902" h="9144">
                                <a:moveTo>
                                  <a:pt x="0" y="0"/>
                                </a:moveTo>
                                <a:lnTo>
                                  <a:pt x="5438902" y="0"/>
                                </a:lnTo>
                                <a:lnTo>
                                  <a:pt x="5438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812" y="451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5F70E" w14:textId="77777777" w:rsidR="009F73AB" w:rsidRDefault="008A44D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841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D17607" id="Group 933" o:spid="_x0000_s1026" style="position:absolute;left:0;text-align:left;margin-left:83.55pt;margin-top:13.75pt;width:429.9pt;height:51.75pt;z-index:251658240;mso-position-horizontal-relative:page;mso-position-vertical-relative:page" coordsize="54595,65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">
                <v:rect id="Rectangle 7" o:spid="_x0000_s1027" style="position:absolute;left:9539;top:2766;width:5802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F525914" w14:textId="77777777" w:rsidR="009F73AB" w:rsidRDefault="008A44D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</w:rPr>
                          <w:t>VIII Congreso Internacional de Ciencia y Tecnología de Alimentos (CICYTAC 202</w:t>
                        </w:r>
                      </w:p>
                    </w:txbxContent>
                  </v:textbox>
                </v:rect>
                <v:rect id="Rectangle 8" o:spid="_x0000_s1028" style="position:absolute;left:53199;top:2766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7ACEDCA" w14:textId="77777777" w:rsidR="009F73AB" w:rsidRDefault="008A44D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9" o:spid="_x0000_s1029" style="position:absolute;left:53839;top:2766;width:50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9B61F60" w14:textId="77777777" w:rsidR="009F73AB" w:rsidRDefault="008A44D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030" style="position:absolute;left:54205;top:25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5FE73D6" w14:textId="77777777" w:rsidR="009F73AB" w:rsidRDefault="008A44D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3" o:spid="_x0000_s1031" style="position:absolute;top:4197;width:54389;height:91;visibility:visible;mso-wrap-style:square;v-text-anchor:top" coordsize="5438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" path="m,l5438902,r,9144l,9144,,e" fillcolor="black" stroked="f" strokeweight="0">
                  <v:stroke miterlimit="83231f" joinstyle="miter"/>
                  <v:path arrowok="t" textboxrect="0,0,5438902,9144"/>
                </v:shape>
                <v:rect id="Rectangle 12" o:spid="_x0000_s1032" style="position:absolute;left:198;top:45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BD5F70E" w14:textId="77777777" w:rsidR="009F73AB" w:rsidRDefault="008A44D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3" type="#_x0000_t75" style="position:absolute;left:248;width:6763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 w:rsidR="00887D4D">
        <w:rPr>
          <w:rFonts w:ascii="Arial" w:hAnsi="Arial" w:cs="Arial"/>
          <w:sz w:val="24"/>
          <w:szCs w:val="24"/>
        </w:rPr>
        <w:t>RESUMEN</w:t>
      </w:r>
    </w:p>
    <w:p w14:paraId="12936458" w14:textId="42613528" w:rsidR="009F73AB" w:rsidRPr="00C17DE8" w:rsidRDefault="008A44DF" w:rsidP="00887D4D">
      <w:pPr>
        <w:ind w:left="-15" w:right="0" w:firstLine="0"/>
        <w:rPr>
          <w:rFonts w:ascii="Arial" w:hAnsi="Arial" w:cs="Arial"/>
          <w:sz w:val="24"/>
          <w:szCs w:val="24"/>
        </w:rPr>
      </w:pPr>
      <w:r w:rsidRPr="00C17DE8">
        <w:rPr>
          <w:rFonts w:ascii="Arial" w:hAnsi="Arial" w:cs="Arial"/>
          <w:sz w:val="24"/>
          <w:szCs w:val="24"/>
        </w:rPr>
        <w:t xml:space="preserve">En los sistemas alimentarios, </w:t>
      </w:r>
      <w:r w:rsidRPr="00C17DE8">
        <w:rPr>
          <w:rFonts w:ascii="Arial" w:hAnsi="Arial" w:cs="Arial"/>
          <w:sz w:val="24"/>
          <w:szCs w:val="24"/>
        </w:rPr>
        <w:t>el agua es uno de los componentes más importantes, donde puede existir ya sea como agua libre o agua ligada. Las isotermas de sorción se pueden utilizar para investigar las características estructurales de la matriz alimentaria, como el área superficial es</w:t>
      </w:r>
      <w:r w:rsidRPr="00C17DE8">
        <w:rPr>
          <w:rFonts w:ascii="Arial" w:hAnsi="Arial" w:cs="Arial"/>
          <w:sz w:val="24"/>
          <w:szCs w:val="24"/>
        </w:rPr>
        <w:t>pecífica, el radio y el volumen de los poros y la cristalinidad. Dichos datos pueden utilizarse para seleccionar las condiciones de almacenamiento y los sistemas de envasado adecuados que conduzcan a optimizar o maximizar la retención de aroma, color, text</w:t>
      </w:r>
      <w:r w:rsidRPr="00C17DE8">
        <w:rPr>
          <w:rFonts w:ascii="Arial" w:hAnsi="Arial" w:cs="Arial"/>
          <w:sz w:val="24"/>
          <w:szCs w:val="24"/>
        </w:rPr>
        <w:t>ura, nutrientes y estabilidad biológica.</w:t>
      </w:r>
      <w:r w:rsidR="00887D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7DE8">
        <w:rPr>
          <w:rFonts w:ascii="Arial" w:hAnsi="Arial" w:cs="Arial"/>
          <w:sz w:val="24"/>
          <w:szCs w:val="24"/>
        </w:rPr>
        <w:t>La</w:t>
      </w:r>
      <w:proofErr w:type="gramEnd"/>
      <w:r w:rsidRPr="00C17DE8">
        <w:rPr>
          <w:rFonts w:ascii="Arial" w:hAnsi="Arial" w:cs="Arial"/>
          <w:sz w:val="24"/>
          <w:szCs w:val="24"/>
        </w:rPr>
        <w:t xml:space="preserve"> compensación entalpía / entropía ha sido ampliamente investigada para diferentes procesos físicos y químicos. </w:t>
      </w:r>
      <w:proofErr w:type="spellStart"/>
      <w:r w:rsidRPr="00C17DE8">
        <w:rPr>
          <w:rFonts w:ascii="Arial" w:hAnsi="Arial" w:cs="Arial"/>
          <w:sz w:val="24"/>
          <w:szCs w:val="24"/>
        </w:rPr>
        <w:t>Labuza</w:t>
      </w:r>
      <w:proofErr w:type="spellEnd"/>
      <w:r w:rsidRPr="00C17DE8">
        <w:rPr>
          <w:rFonts w:ascii="Arial" w:hAnsi="Arial" w:cs="Arial"/>
          <w:sz w:val="24"/>
          <w:szCs w:val="24"/>
        </w:rPr>
        <w:t xml:space="preserve"> (1980) estudió la compensación de Entalpía / Entropía en sistemas alimentarios y descubrió que s</w:t>
      </w:r>
      <w:r w:rsidRPr="00C17DE8">
        <w:rPr>
          <w:rFonts w:ascii="Arial" w:hAnsi="Arial" w:cs="Arial"/>
          <w:sz w:val="24"/>
          <w:szCs w:val="24"/>
        </w:rPr>
        <w:t xml:space="preserve">e aplicaba bien a la muerte térmica de microorganismos, la desnaturalización de proteínas y la degradación del ácido ascórbico en distintos sistemas alimentarios. Ferro </w:t>
      </w:r>
      <w:proofErr w:type="spellStart"/>
      <w:r w:rsidRPr="00C17DE8">
        <w:rPr>
          <w:rFonts w:ascii="Arial" w:hAnsi="Arial" w:cs="Arial"/>
          <w:sz w:val="24"/>
          <w:szCs w:val="24"/>
        </w:rPr>
        <w:t>Fontan</w:t>
      </w:r>
      <w:proofErr w:type="spellEnd"/>
      <w:r w:rsidRPr="00C17DE8">
        <w:rPr>
          <w:rFonts w:ascii="Arial" w:hAnsi="Arial" w:cs="Arial"/>
          <w:sz w:val="24"/>
          <w:szCs w:val="24"/>
        </w:rPr>
        <w:t xml:space="preserve"> (1982) señaló la existencia de una relación lineal entre la entalpía y la entrop</w:t>
      </w:r>
      <w:r w:rsidRPr="00C17DE8">
        <w:rPr>
          <w:rFonts w:ascii="Arial" w:hAnsi="Arial" w:cs="Arial"/>
          <w:sz w:val="24"/>
          <w:szCs w:val="24"/>
        </w:rPr>
        <w:t>ía para la sorción de agua en algunos alimentos, sin analizar en detalle esta relación y sus implicaciones en los fenómenos de sorción de alimentos. En este trabajo se estudió sorción de agua de los productos alimenticios y se calcularon a partir de las is</w:t>
      </w:r>
      <w:r w:rsidRPr="00C17DE8">
        <w:rPr>
          <w:rFonts w:ascii="Arial" w:hAnsi="Arial" w:cs="Arial"/>
          <w:sz w:val="24"/>
          <w:szCs w:val="24"/>
        </w:rPr>
        <w:t>otermas de sorción informadas en la bibliografía, los valores de Entalpía y Entropía para distintos contenidos de humedad</w:t>
      </w:r>
      <w:r w:rsidRPr="00C17DE8">
        <w:rPr>
          <w:rFonts w:ascii="Arial" w:hAnsi="Arial" w:cs="Arial"/>
          <w:sz w:val="24"/>
          <w:szCs w:val="24"/>
        </w:rPr>
        <w:t xml:space="preserve">. La representación de los valores obtenidos de calor </w:t>
      </w:r>
      <w:proofErr w:type="spellStart"/>
      <w:r w:rsidRPr="00C17DE8">
        <w:rPr>
          <w:rFonts w:ascii="Arial" w:hAnsi="Arial" w:cs="Arial"/>
          <w:sz w:val="24"/>
          <w:szCs w:val="24"/>
        </w:rPr>
        <w:t>isostérico</w:t>
      </w:r>
      <w:proofErr w:type="spellEnd"/>
      <w:r w:rsidRPr="00C17DE8">
        <w:rPr>
          <w:rFonts w:ascii="Arial" w:hAnsi="Arial" w:cs="Arial"/>
          <w:sz w:val="24"/>
          <w:szCs w:val="24"/>
        </w:rPr>
        <w:t xml:space="preserve"> vs entropía muestra que hay una relación lineal entre entalpía y entrop</w:t>
      </w:r>
      <w:r w:rsidRPr="00C17DE8">
        <w:rPr>
          <w:rFonts w:ascii="Arial" w:hAnsi="Arial" w:cs="Arial"/>
          <w:sz w:val="24"/>
          <w:szCs w:val="24"/>
        </w:rPr>
        <w:t>ía. La pendiente de esta línea tiene dimensiones de temperatura absoluta y se la conoce como "temperatura isocinética". Esta relación lineal indica la existencia del efecto de compensación Entalpía / entropía en los procesos de sorción, encontrándose un va</w:t>
      </w:r>
      <w:r w:rsidRPr="00C17DE8">
        <w:rPr>
          <w:rFonts w:ascii="Arial" w:hAnsi="Arial" w:cs="Arial"/>
          <w:sz w:val="24"/>
          <w:szCs w:val="24"/>
        </w:rPr>
        <w:t xml:space="preserve">lor de 381 </w:t>
      </w:r>
      <w:r w:rsidRPr="00C17DE8">
        <w:rPr>
          <w:rFonts w:ascii="Arial" w:eastAsia="Segoe UI Symbol" w:hAnsi="Arial" w:cs="Arial"/>
          <w:sz w:val="24"/>
          <w:szCs w:val="24"/>
        </w:rPr>
        <w:t></w:t>
      </w:r>
      <w:r w:rsidRPr="00C17DE8">
        <w:rPr>
          <w:rFonts w:ascii="Arial" w:hAnsi="Arial" w:cs="Arial"/>
          <w:sz w:val="24"/>
          <w:szCs w:val="24"/>
        </w:rPr>
        <w:t xml:space="preserve"> 18 K para la temperatura isocinética. A un conjunto de datos independientes (amaranto) se le aplicó la corrección por temperatura, encontrándose que los mismos se desplazaron y alinearon sobre una curva de tipo sigmoideo. Para modelar la influ</w:t>
      </w:r>
      <w:r w:rsidRPr="00C17DE8">
        <w:rPr>
          <w:rFonts w:ascii="Arial" w:hAnsi="Arial" w:cs="Arial"/>
          <w:sz w:val="24"/>
          <w:szCs w:val="24"/>
        </w:rPr>
        <w:t>encia de la temperatura en las isotermas de sorción, se introdujo esta relación en la Ecuación de Gibbs, lo que permitió relacionar la actividad de agua y la humedad de equilibrio retenida en alimentos. Se utilizó la Ecuación de Henderson para explicitar l</w:t>
      </w:r>
      <w:r w:rsidRPr="00C17DE8">
        <w:rPr>
          <w:rFonts w:ascii="Arial" w:hAnsi="Arial" w:cs="Arial"/>
          <w:sz w:val="24"/>
          <w:szCs w:val="24"/>
        </w:rPr>
        <w:t xml:space="preserve">a relación de la humedad con el resto de las variables. La expresión resultante es derivable por lo que pudo obtenerse a partir de ella la expresión del calor </w:t>
      </w:r>
      <w:proofErr w:type="spellStart"/>
      <w:r w:rsidRPr="00C17DE8">
        <w:rPr>
          <w:rFonts w:ascii="Arial" w:hAnsi="Arial" w:cs="Arial"/>
          <w:sz w:val="24"/>
          <w:szCs w:val="24"/>
        </w:rPr>
        <w:t>isostérico</w:t>
      </w:r>
      <w:proofErr w:type="spellEnd"/>
      <w:r w:rsidRPr="00C17DE8">
        <w:rPr>
          <w:rFonts w:ascii="Arial" w:hAnsi="Arial" w:cs="Arial"/>
          <w:sz w:val="24"/>
          <w:szCs w:val="24"/>
        </w:rPr>
        <w:t xml:space="preserve"> en función del contenido de humedad. Las ecuaciones encontradas para relacionar la tem</w:t>
      </w:r>
      <w:r w:rsidRPr="00C17DE8">
        <w:rPr>
          <w:rFonts w:ascii="Arial" w:hAnsi="Arial" w:cs="Arial"/>
          <w:sz w:val="24"/>
          <w:szCs w:val="24"/>
        </w:rPr>
        <w:t xml:space="preserve">peratura, la actividad de agua y la </w:t>
      </w:r>
      <w:r w:rsidRPr="00C17DE8">
        <w:rPr>
          <w:rFonts w:ascii="Arial" w:hAnsi="Arial" w:cs="Arial"/>
          <w:sz w:val="24"/>
          <w:szCs w:val="24"/>
        </w:rPr>
        <w:lastRenderedPageBreak/>
        <w:t xml:space="preserve">humedad se aplicaron a los datos de equilibrio </w:t>
      </w:r>
      <w:proofErr w:type="spellStart"/>
      <w:r w:rsidRPr="00C17DE8">
        <w:rPr>
          <w:rFonts w:ascii="Arial" w:hAnsi="Arial" w:cs="Arial"/>
          <w:sz w:val="24"/>
          <w:szCs w:val="24"/>
        </w:rPr>
        <w:t>sorcional</w:t>
      </w:r>
      <w:proofErr w:type="spellEnd"/>
      <w:r w:rsidRPr="00C17DE8">
        <w:rPr>
          <w:rFonts w:ascii="Arial" w:hAnsi="Arial" w:cs="Arial"/>
          <w:sz w:val="24"/>
          <w:szCs w:val="24"/>
        </w:rPr>
        <w:t xml:space="preserve"> de amaranto. Se obtuvo un buen ajuste con un valor de la temperatura isocinética de 402 K. La curva analítica de calor </w:t>
      </w:r>
      <w:proofErr w:type="spellStart"/>
      <w:r w:rsidRPr="00C17DE8">
        <w:rPr>
          <w:rFonts w:ascii="Arial" w:hAnsi="Arial" w:cs="Arial"/>
          <w:sz w:val="24"/>
          <w:szCs w:val="24"/>
        </w:rPr>
        <w:t>isostérico</w:t>
      </w:r>
      <w:proofErr w:type="spellEnd"/>
      <w:r w:rsidRPr="00C17DE8">
        <w:rPr>
          <w:rFonts w:ascii="Arial" w:hAnsi="Arial" w:cs="Arial"/>
          <w:sz w:val="24"/>
          <w:szCs w:val="24"/>
        </w:rPr>
        <w:t xml:space="preserve"> vs contenido de humedad también r</w:t>
      </w:r>
      <w:r w:rsidRPr="00C17DE8">
        <w:rPr>
          <w:rFonts w:ascii="Arial" w:hAnsi="Arial" w:cs="Arial"/>
          <w:sz w:val="24"/>
          <w:szCs w:val="24"/>
        </w:rPr>
        <w:t xml:space="preserve">epresentó adecuadamente los datos, incluso a bajas humedades. Disponer de este tipo de expresiones analíticas es conveniente para fines computacionales relacionados con el secado y almacenamiento de alimentos deshidratados. </w:t>
      </w:r>
    </w:p>
    <w:p w14:paraId="3B7D44B5" w14:textId="1FFE1F6A" w:rsidR="009F73AB" w:rsidRPr="00887D4D" w:rsidRDefault="008A44DF" w:rsidP="00C17DE8">
      <w:pPr>
        <w:ind w:left="0" w:right="0" w:firstLine="0"/>
        <w:rPr>
          <w:rFonts w:ascii="Arial" w:hAnsi="Arial" w:cs="Arial"/>
          <w:b/>
          <w:bCs/>
          <w:sz w:val="24"/>
          <w:szCs w:val="24"/>
        </w:rPr>
      </w:pPr>
      <w:r w:rsidRPr="00887D4D">
        <w:rPr>
          <w:rFonts w:ascii="Arial" w:hAnsi="Arial" w:cs="Arial"/>
          <w:b/>
          <w:bCs/>
          <w:sz w:val="24"/>
          <w:szCs w:val="24"/>
        </w:rPr>
        <w:t xml:space="preserve">Palabras clave: </w:t>
      </w:r>
      <w:r w:rsidR="00887D4D">
        <w:rPr>
          <w:rFonts w:ascii="Arial" w:hAnsi="Arial" w:cs="Arial"/>
          <w:b/>
          <w:bCs/>
          <w:sz w:val="24"/>
          <w:szCs w:val="24"/>
        </w:rPr>
        <w:t>isotermas</w:t>
      </w:r>
      <w:r w:rsidRPr="00887D4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alimentos</w:t>
      </w:r>
      <w:r w:rsidRPr="00887D4D">
        <w:rPr>
          <w:rFonts w:ascii="Arial" w:hAnsi="Arial" w:cs="Arial"/>
          <w:b/>
          <w:bCs/>
          <w:sz w:val="24"/>
          <w:szCs w:val="24"/>
        </w:rPr>
        <w:t>,</w:t>
      </w:r>
      <w:r w:rsidRPr="00887D4D">
        <w:rPr>
          <w:rFonts w:ascii="Arial" w:hAnsi="Arial" w:cs="Arial"/>
          <w:b/>
          <w:bCs/>
          <w:sz w:val="24"/>
          <w:szCs w:val="24"/>
        </w:rPr>
        <w:t xml:space="preserve"> isocinética</w:t>
      </w:r>
      <w:r w:rsidRPr="00887D4D">
        <w:rPr>
          <w:rFonts w:ascii="Arial" w:hAnsi="Arial" w:cs="Arial"/>
          <w:b/>
          <w:bCs/>
          <w:sz w:val="24"/>
          <w:szCs w:val="24"/>
        </w:rPr>
        <w:t>,</w:t>
      </w:r>
      <w:r w:rsidRPr="00887D4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calor </w:t>
      </w:r>
      <w:proofErr w:type="spellStart"/>
      <w:r w:rsidRPr="00887D4D">
        <w:rPr>
          <w:rFonts w:ascii="Arial" w:hAnsi="Arial" w:cs="Arial"/>
          <w:b/>
          <w:bCs/>
          <w:sz w:val="24"/>
          <w:szCs w:val="24"/>
        </w:rPr>
        <w:t>isostérico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4FC1AB32" w14:textId="77777777" w:rsidR="009F73AB" w:rsidRDefault="008A44D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9F73AB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6A2"/>
    <w:multiLevelType w:val="hybridMultilevel"/>
    <w:tmpl w:val="574C5696"/>
    <w:lvl w:ilvl="0" w:tplc="095AFF1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30EC4"/>
    <w:multiLevelType w:val="hybridMultilevel"/>
    <w:tmpl w:val="1A383C94"/>
    <w:lvl w:ilvl="0" w:tplc="67EAD812">
      <w:start w:val="1"/>
      <w:numFmt w:val="decimal"/>
      <w:lvlText w:val="(%1)"/>
      <w:lvlJc w:val="left"/>
      <w:pPr>
        <w:ind w:left="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6A15C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64058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C2FAC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61C48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A7ABC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0766C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2E446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2CB72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924451">
    <w:abstractNumId w:val="1"/>
  </w:num>
  <w:num w:numId="2" w16cid:durableId="147830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AB"/>
    <w:rsid w:val="00887D4D"/>
    <w:rsid w:val="008A44DF"/>
    <w:rsid w:val="009F73AB"/>
    <w:rsid w:val="00C1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8748"/>
  <w15:docId w15:val="{9621AD7F-B72B-4F07-871A-39E2D349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2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DE8"/>
    <w:pPr>
      <w:ind w:left="720"/>
      <w:contextualSpacing/>
    </w:pPr>
  </w:style>
  <w:style w:type="character" w:styleId="Textoennegrita">
    <w:name w:val="Strong"/>
    <w:uiPriority w:val="22"/>
    <w:qFormat/>
    <w:rsid w:val="00887D4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unhideWhenUsed/>
    <w:rsid w:val="00887D4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Compensación Entalpía-Entropía en el Equilibrio Sorcional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Compensación Entalpía-Entropía en el Equilibrio Sorcional</dc:title>
  <dc:subject/>
  <dc:creator>Sebastian Abel Cunzolo</dc:creator>
  <cp:keywords/>
  <cp:lastModifiedBy>María</cp:lastModifiedBy>
  <cp:revision>2</cp:revision>
  <dcterms:created xsi:type="dcterms:W3CDTF">2022-08-08T21:48:00Z</dcterms:created>
  <dcterms:modified xsi:type="dcterms:W3CDTF">2022-08-08T21:48:00Z</dcterms:modified>
</cp:coreProperties>
</file>