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2399" w14:textId="395C8BFE" w:rsidR="00D01893" w:rsidRDefault="00FE0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</w:t>
      </w:r>
      <w:r w:rsidR="00234A04">
        <w:rPr>
          <w:b/>
          <w:color w:val="000000"/>
        </w:rPr>
        <w:t xml:space="preserve"> </w:t>
      </w:r>
      <w:r>
        <w:rPr>
          <w:b/>
          <w:color w:val="000000"/>
        </w:rPr>
        <w:t xml:space="preserve">de hojas de plantas aromáticas y medicinales y de plantas frutales </w:t>
      </w:r>
      <w:r w:rsidR="00080665">
        <w:rPr>
          <w:b/>
          <w:color w:val="000000"/>
        </w:rPr>
        <w:t xml:space="preserve">de Jujuy </w:t>
      </w:r>
      <w:r>
        <w:rPr>
          <w:b/>
          <w:color w:val="000000"/>
        </w:rPr>
        <w:t>para la formulación de infusiones artesanales</w:t>
      </w:r>
    </w:p>
    <w:p w14:paraId="2B1191D4" w14:textId="77777777" w:rsidR="00D01893" w:rsidRDefault="00D01893">
      <w:pPr>
        <w:spacing w:after="0" w:line="240" w:lineRule="auto"/>
        <w:ind w:left="0" w:hanging="2"/>
        <w:jc w:val="center"/>
      </w:pPr>
    </w:p>
    <w:p w14:paraId="5C144569" w14:textId="77777777" w:rsidR="00D01893" w:rsidRDefault="00FE0304">
      <w:pPr>
        <w:spacing w:after="0" w:line="240" w:lineRule="auto"/>
        <w:ind w:left="0" w:hanging="2"/>
        <w:jc w:val="center"/>
      </w:pPr>
      <w:bookmarkStart w:id="0" w:name="_heading=h.gjdgxs" w:colFirst="0" w:colLast="0"/>
      <w:bookmarkEnd w:id="0"/>
      <w:proofErr w:type="spellStart"/>
      <w:r>
        <w:t>Aucachi</w:t>
      </w:r>
      <w:proofErr w:type="spellEnd"/>
      <w:r>
        <w:t xml:space="preserve"> AC (1), Bazalar Pereda MS (1)(2), </w:t>
      </w:r>
      <w:proofErr w:type="spellStart"/>
      <w:r>
        <w:t>Viturro</w:t>
      </w:r>
      <w:proofErr w:type="spellEnd"/>
      <w:r>
        <w:t xml:space="preserve"> CI (1)(2)</w:t>
      </w:r>
    </w:p>
    <w:p w14:paraId="10B7AD5B" w14:textId="77777777" w:rsidR="00D01893" w:rsidRDefault="00D01893">
      <w:pPr>
        <w:spacing w:after="0" w:line="240" w:lineRule="auto"/>
        <w:ind w:left="0" w:hanging="2"/>
        <w:jc w:val="center"/>
      </w:pPr>
    </w:p>
    <w:p w14:paraId="71823839" w14:textId="77777777" w:rsidR="00D01893" w:rsidRDefault="00FE0304">
      <w:pPr>
        <w:spacing w:after="120" w:line="240" w:lineRule="auto"/>
        <w:ind w:left="0" w:hanging="2"/>
        <w:jc w:val="left"/>
      </w:pPr>
      <w:bookmarkStart w:id="1" w:name="_heading=h.30j0zll" w:colFirst="0" w:colLast="0"/>
      <w:bookmarkEnd w:id="1"/>
      <w:r>
        <w:t>(1) Laboratorio PRONOA, Facultad de Ingeniería (</w:t>
      </w:r>
      <w:proofErr w:type="spellStart"/>
      <w:r>
        <w:t>UNJu</w:t>
      </w:r>
      <w:proofErr w:type="spellEnd"/>
      <w:r>
        <w:t>),Ítalo palanca N°10, San Salvador de Jujuy, Jujuy, Argentina.</w:t>
      </w:r>
    </w:p>
    <w:p w14:paraId="2BB3DD71" w14:textId="524D25CC" w:rsidR="00D01893" w:rsidRDefault="00FE0304">
      <w:pPr>
        <w:spacing w:line="240" w:lineRule="auto"/>
        <w:ind w:left="0" w:hanging="2"/>
        <w:jc w:val="left"/>
      </w:pPr>
      <w:bookmarkStart w:id="2" w:name="_heading=h.1fob9te" w:colFirst="0" w:colLast="0"/>
      <w:bookmarkEnd w:id="2"/>
      <w:r>
        <w:t>(2)</w:t>
      </w:r>
      <w:r w:rsidR="00524DAD">
        <w:t xml:space="preserve"> </w:t>
      </w:r>
      <w:proofErr w:type="spellStart"/>
      <w:r>
        <w:t>CIITeD</w:t>
      </w:r>
      <w:proofErr w:type="spellEnd"/>
      <w:r>
        <w:t>-CONICET, Universidad Nacional de Jujuy, Ítalo palanca N°10, San Salvador de Jujuy, Jujuy, Argentina.</w:t>
      </w:r>
    </w:p>
    <w:p w14:paraId="2E42FFE9" w14:textId="77777777" w:rsidR="00D01893" w:rsidRDefault="00FE030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e-mail:any.aucachi@gmail.com</w:t>
      </w:r>
      <w:r>
        <w:rPr>
          <w:color w:val="000000"/>
        </w:rPr>
        <w:tab/>
      </w:r>
    </w:p>
    <w:p w14:paraId="5B604889" w14:textId="77777777" w:rsidR="00D01893" w:rsidRDefault="00D01893">
      <w:pPr>
        <w:spacing w:after="0" w:line="240" w:lineRule="auto"/>
        <w:ind w:left="0" w:hanging="2"/>
      </w:pPr>
    </w:p>
    <w:p w14:paraId="38FEBD48" w14:textId="69030120" w:rsidR="00D01893" w:rsidRDefault="00FE0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bookmarkStart w:id="3" w:name="_heading=h.3znysh7" w:colFirst="0" w:colLast="0"/>
      <w:bookmarkEnd w:id="3"/>
      <w:r>
        <w:rPr>
          <w:color w:val="000000"/>
        </w:rPr>
        <w:t>El mercado de infusiones en Argentina, progresivamente va desarrollando opciones diferentes a l</w:t>
      </w:r>
      <w:r w:rsidR="00080665">
        <w:rPr>
          <w:color w:val="000000"/>
        </w:rPr>
        <w:t>as</w:t>
      </w:r>
      <w:r>
        <w:rPr>
          <w:color w:val="000000"/>
        </w:rPr>
        <w:t xml:space="preserve"> tradicional</w:t>
      </w:r>
      <w:r w:rsidR="00080665">
        <w:rPr>
          <w:color w:val="000000"/>
        </w:rPr>
        <w:t>es</w:t>
      </w:r>
      <w:r>
        <w:rPr>
          <w:color w:val="000000"/>
        </w:rPr>
        <w:t>. Debido a que las hierbas han ganado</w:t>
      </w:r>
      <w:r w:rsidR="00080665">
        <w:rPr>
          <w:color w:val="000000"/>
        </w:rPr>
        <w:t xml:space="preserve"> </w:t>
      </w:r>
      <w:r>
        <w:rPr>
          <w:color w:val="000000"/>
        </w:rPr>
        <w:t xml:space="preserve">prestigio y popularidad, son cada vez más las </w:t>
      </w:r>
      <w:r w:rsidR="00080665">
        <w:rPr>
          <w:color w:val="000000"/>
        </w:rPr>
        <w:t>especies</w:t>
      </w:r>
      <w:r>
        <w:rPr>
          <w:color w:val="000000"/>
        </w:rPr>
        <w:t xml:space="preserve"> </w:t>
      </w:r>
      <w:r w:rsidR="00080665">
        <w:rPr>
          <w:color w:val="000000"/>
        </w:rPr>
        <w:t>reconocidas</w:t>
      </w:r>
      <w:r>
        <w:rPr>
          <w:color w:val="000000"/>
        </w:rPr>
        <w:t xml:space="preserve"> por sus propiedades aromáticas, nutritivas y terapéuticas. Así también</w:t>
      </w:r>
      <w:r w:rsidR="00234A04">
        <w:rPr>
          <w:color w:val="000000"/>
        </w:rPr>
        <w:t>,</w:t>
      </w:r>
      <w:r>
        <w:rPr>
          <w:color w:val="000000"/>
        </w:rPr>
        <w:t xml:space="preserve"> en los últimos años, se </w:t>
      </w:r>
      <w:r w:rsidR="00080665">
        <w:rPr>
          <w:color w:val="000000"/>
        </w:rPr>
        <w:t>despertó</w:t>
      </w:r>
      <w:r>
        <w:rPr>
          <w:color w:val="000000"/>
        </w:rPr>
        <w:t xml:space="preserve"> un gran interés</w:t>
      </w:r>
      <w:r w:rsidR="00080665">
        <w:rPr>
          <w:color w:val="000000"/>
        </w:rPr>
        <w:t xml:space="preserve"> por</w:t>
      </w:r>
      <w:r>
        <w:rPr>
          <w:color w:val="000000"/>
        </w:rPr>
        <w:t xml:space="preserve"> compuestos fitoquímicos obtenidos de diferentes partes no tradicionales de plantas frutales como, por ejemplo, las hojas. La provincia de Jujuy, </w:t>
      </w:r>
      <w:r>
        <w:t>ubicada</w:t>
      </w:r>
      <w:r>
        <w:rPr>
          <w:color w:val="000000"/>
        </w:rPr>
        <w:t xml:space="preserve"> en la región noroeste de Argentina, presenta una gran variedad de zonas fitogeográficas y climáticas que proveen un marco propicio para el crecimiento de distintas plantas. Con el fin de aprovechar la flora que crece en la provincia y su potencial terapéutico y funcional, se estudiaron y seleccionaron entre las plantas aromáticas y medicinales (PAM): Rica-Rica (</w:t>
      </w:r>
      <w:proofErr w:type="spellStart"/>
      <w:r>
        <w:rPr>
          <w:i/>
          <w:color w:val="000000"/>
        </w:rPr>
        <w:t>Acantholippia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salsoloides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Griseb</w:t>
      </w:r>
      <w:proofErr w:type="spellEnd"/>
      <w:r>
        <w:rPr>
          <w:color w:val="000000"/>
        </w:rPr>
        <w:t>.), muña-muña (</w:t>
      </w:r>
      <w:proofErr w:type="spellStart"/>
      <w:r>
        <w:rPr>
          <w:i/>
          <w:color w:val="000000"/>
        </w:rPr>
        <w:t>Clinopodium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gilliesii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Benth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Kuntze</w:t>
      </w:r>
      <w:proofErr w:type="spellEnd"/>
      <w:r>
        <w:rPr>
          <w:color w:val="000000"/>
        </w:rPr>
        <w:t>) y molle (</w:t>
      </w:r>
      <w:proofErr w:type="spellStart"/>
      <w:r>
        <w:rPr>
          <w:i/>
          <w:color w:val="000000"/>
        </w:rPr>
        <w:t>Schinus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areira</w:t>
      </w:r>
      <w:proofErr w:type="spellEnd"/>
      <w:r>
        <w:rPr>
          <w:color w:val="000000"/>
        </w:rPr>
        <w:t xml:space="preserve"> L.); y hojas de plantas frutales: Guayaba (</w:t>
      </w:r>
      <w:proofErr w:type="spellStart"/>
      <w:r>
        <w:rPr>
          <w:i/>
          <w:color w:val="000000"/>
        </w:rPr>
        <w:t>Psidium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guajava</w:t>
      </w:r>
      <w:proofErr w:type="spellEnd"/>
      <w:r>
        <w:rPr>
          <w:color w:val="000000"/>
        </w:rPr>
        <w:t xml:space="preserve"> L.), mango (</w:t>
      </w:r>
      <w:proofErr w:type="spellStart"/>
      <w:r>
        <w:rPr>
          <w:i/>
          <w:color w:val="000000"/>
        </w:rPr>
        <w:t>Mangifera</w:t>
      </w:r>
      <w:proofErr w:type="spellEnd"/>
      <w:r>
        <w:rPr>
          <w:i/>
          <w:color w:val="000000"/>
        </w:rPr>
        <w:t xml:space="preserve"> indica </w:t>
      </w:r>
      <w:r>
        <w:rPr>
          <w:color w:val="000000"/>
        </w:rPr>
        <w:t>L.), palta (</w:t>
      </w:r>
      <w:proofErr w:type="spellStart"/>
      <w:r>
        <w:rPr>
          <w:i/>
          <w:color w:val="000000"/>
        </w:rPr>
        <w:t>Persea</w:t>
      </w:r>
      <w:proofErr w:type="spellEnd"/>
      <w:r>
        <w:rPr>
          <w:i/>
          <w:color w:val="000000"/>
        </w:rPr>
        <w:t xml:space="preserve"> americana </w:t>
      </w:r>
      <w:r>
        <w:rPr>
          <w:color w:val="000000"/>
        </w:rPr>
        <w:t>Mill.) y chirimoya (</w:t>
      </w:r>
      <w:proofErr w:type="spellStart"/>
      <w:r>
        <w:rPr>
          <w:i/>
          <w:color w:val="000000"/>
        </w:rPr>
        <w:t>Annona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cherimola</w:t>
      </w:r>
      <w:proofErr w:type="spellEnd"/>
      <w:r>
        <w:rPr>
          <w:color w:val="000000"/>
        </w:rPr>
        <w:t xml:space="preserve"> Mill.), aquellas a incorporar en la formulación de una infusión artesanal con potencial biológico.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Se prepararon infusiones individuales de cada material vegetal a la usanza tradicional (1 g material vegetal seco/ 100 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de agua</w:t>
      </w:r>
      <w:r w:rsidR="003116BD">
        <w:rPr>
          <w:color w:val="000000"/>
        </w:rPr>
        <w:t xml:space="preserve"> en punto de ebullición</w:t>
      </w:r>
      <w:r>
        <w:rPr>
          <w:color w:val="000000"/>
        </w:rPr>
        <w:t xml:space="preserve">). Las infusiones fueron evaluadas en sus actividades biológicas (actividad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 y ecotoxicidad) y </w:t>
      </w:r>
      <w:r w:rsidR="00234A04">
        <w:rPr>
          <w:color w:val="000000"/>
        </w:rPr>
        <w:t xml:space="preserve">en el </w:t>
      </w:r>
      <w:r>
        <w:rPr>
          <w:color w:val="000000"/>
        </w:rPr>
        <w:t xml:space="preserve">contenido de fenoles totales. La 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 se determinó por el método de captura de radicales libres con reactivo DPPH (resultados expresados como EC</w:t>
      </w:r>
      <w:r>
        <w:rPr>
          <w:color w:val="000000"/>
          <w:vertAlign w:val="subscript"/>
        </w:rPr>
        <w:t>50</w:t>
      </w:r>
      <w:r w:rsidR="00C97634">
        <w:rPr>
          <w:color w:val="000000"/>
        </w:rPr>
        <w:t xml:space="preserve">: </w:t>
      </w:r>
      <w:r w:rsidR="00C97634" w:rsidRPr="00C97634">
        <w:rPr>
          <w:color w:val="000000"/>
        </w:rPr>
        <w:t>c</w:t>
      </w:r>
      <w:r w:rsidR="00C97634">
        <w:rPr>
          <w:color w:val="000000"/>
        </w:rPr>
        <w:t>oncentración</w:t>
      </w:r>
      <w:r w:rsidR="00C97634" w:rsidRPr="00C97634">
        <w:rPr>
          <w:color w:val="000000"/>
        </w:rPr>
        <w:t xml:space="preserve"> de </w:t>
      </w:r>
      <w:r w:rsidR="00C97634">
        <w:rPr>
          <w:color w:val="000000"/>
        </w:rPr>
        <w:t>muestra</w:t>
      </w:r>
      <w:r w:rsidR="00C97634" w:rsidRPr="00C97634">
        <w:rPr>
          <w:color w:val="000000"/>
        </w:rPr>
        <w:t xml:space="preserve"> necesari</w:t>
      </w:r>
      <w:r w:rsidR="00C97634">
        <w:rPr>
          <w:color w:val="000000"/>
        </w:rPr>
        <w:t>a</w:t>
      </w:r>
      <w:r w:rsidR="00C97634" w:rsidRPr="00C97634">
        <w:rPr>
          <w:color w:val="000000"/>
        </w:rPr>
        <w:t xml:space="preserve"> para decolorar el 50% del reactivo)</w:t>
      </w:r>
      <w:r>
        <w:rPr>
          <w:color w:val="000000"/>
        </w:rPr>
        <w:t xml:space="preserve">. Se determinó la mortalidad de larvas de </w:t>
      </w:r>
      <w:proofErr w:type="spellStart"/>
      <w:r>
        <w:rPr>
          <w:i/>
          <w:color w:val="000000"/>
        </w:rPr>
        <w:t>Artemia</w:t>
      </w:r>
      <w:proofErr w:type="spellEnd"/>
      <w:r>
        <w:rPr>
          <w:i/>
          <w:color w:val="000000"/>
        </w:rPr>
        <w:t xml:space="preserve"> salina</w:t>
      </w:r>
      <w:r>
        <w:rPr>
          <w:color w:val="000000"/>
        </w:rPr>
        <w:t xml:space="preserve"> en distintas concentraciones de muestras para definir el grado de ecotoxicidad (resultados expresados como CL</w:t>
      </w:r>
      <w:r>
        <w:rPr>
          <w:color w:val="000000"/>
          <w:vertAlign w:val="subscript"/>
        </w:rPr>
        <w:t>50</w:t>
      </w:r>
      <w:r>
        <w:rPr>
          <w:color w:val="000000"/>
        </w:rPr>
        <w:t xml:space="preserve">: concentración letal media). El contenido de fenoles totales se determinó por el método de </w:t>
      </w:r>
      <w:proofErr w:type="spellStart"/>
      <w:r>
        <w:rPr>
          <w:color w:val="000000"/>
        </w:rPr>
        <w:t>Folin-Ciocalteu</w:t>
      </w:r>
      <w:proofErr w:type="spellEnd"/>
      <w:r w:rsidR="009436DE">
        <w:rPr>
          <w:color w:val="000000"/>
        </w:rPr>
        <w:t>, los resultados fueron expresados en equivalentes de ácido gálico (EAG)</w:t>
      </w:r>
      <w:r>
        <w:rPr>
          <w:color w:val="000000"/>
        </w:rPr>
        <w:t>.</w:t>
      </w:r>
      <w:r w:rsidR="00676D97">
        <w:rPr>
          <w:color w:val="000000"/>
        </w:rPr>
        <w:t xml:space="preserve"> Todas las determinaciones fueron realizadas por triplicado. Los resultados fueron evaluados por ANOVA seguido por la prueba de Tukey con</w:t>
      </w:r>
      <w:r w:rsidR="00F31666">
        <w:rPr>
          <w:rFonts w:ascii="Cambria Math" w:hAnsi="Cambria Math"/>
          <w:color w:val="000000"/>
        </w:rPr>
        <w:t xml:space="preserve"> </w:t>
      </w:r>
      <w:r w:rsidR="00F31666" w:rsidRPr="00430F91">
        <w:rPr>
          <w:color w:val="000000"/>
        </w:rPr>
        <w:t>α= 0,05.</w:t>
      </w:r>
      <w:r w:rsidR="00676D97" w:rsidRPr="00430F91">
        <w:rPr>
          <w:color w:val="000000"/>
        </w:rPr>
        <w:t xml:space="preserve"> </w:t>
      </w:r>
      <w:r>
        <w:rPr>
          <w:color w:val="000000"/>
        </w:rPr>
        <w:t xml:space="preserve">Las infusiones de hojas de muña-muña y molle presentaron mayor 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 (14,10 μg/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y 14,98 μg/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respectivamente) y mayor contenido de fenoles totales entre las infusiones de PAM evaluadas (449,5 mg </w:t>
      </w:r>
      <w:r w:rsidR="001803B8">
        <w:rPr>
          <w:color w:val="000000"/>
        </w:rPr>
        <w:t>EAG</w:t>
      </w:r>
      <w:r>
        <w:rPr>
          <w:color w:val="000000"/>
        </w:rPr>
        <w:t xml:space="preserve">/g SS y 512,7 mg </w:t>
      </w:r>
      <w:r w:rsidR="001803B8">
        <w:rPr>
          <w:color w:val="000000"/>
        </w:rPr>
        <w:t>EAG</w:t>
      </w:r>
      <w:r>
        <w:rPr>
          <w:color w:val="000000"/>
        </w:rPr>
        <w:t>/g SS respectivamente).</w:t>
      </w:r>
      <w:r w:rsidR="00234A04">
        <w:rPr>
          <w:color w:val="000000"/>
        </w:rPr>
        <w:t xml:space="preserve"> </w:t>
      </w:r>
      <w:r>
        <w:rPr>
          <w:color w:val="000000"/>
        </w:rPr>
        <w:t xml:space="preserve">En cuanto a las infusiones de hojas de plantas frutales, las hojas de mango y guayaba fueron las que presentaron mayor 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 (12,39 μg/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y 16,72 μg/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 respectivamente). Respecto a la ecotoxicidad, infusiones de rica-rica, molle y mango presentar</w:t>
      </w:r>
      <w:r w:rsidR="00C97634">
        <w:rPr>
          <w:color w:val="000000"/>
        </w:rPr>
        <w:t>o</w:t>
      </w:r>
      <w:r>
        <w:rPr>
          <w:color w:val="000000"/>
        </w:rPr>
        <w:t>n CL</w:t>
      </w:r>
      <w:r>
        <w:rPr>
          <w:color w:val="000000"/>
          <w:vertAlign w:val="subscript"/>
        </w:rPr>
        <w:t>50</w:t>
      </w:r>
      <w:r>
        <w:rPr>
          <w:color w:val="000000"/>
        </w:rPr>
        <w:t xml:space="preserve"> mayor a 1000 µg/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, no exhibiendo actividad </w:t>
      </w:r>
      <w:proofErr w:type="spellStart"/>
      <w:r>
        <w:rPr>
          <w:color w:val="000000"/>
        </w:rPr>
        <w:t>ecotóxica</w:t>
      </w:r>
      <w:proofErr w:type="spellEnd"/>
      <w:r>
        <w:rPr>
          <w:color w:val="000000"/>
        </w:rPr>
        <w:t xml:space="preserve"> frente a </w:t>
      </w:r>
      <w:proofErr w:type="spellStart"/>
      <w:r>
        <w:rPr>
          <w:i/>
          <w:color w:val="000000"/>
        </w:rPr>
        <w:t>Artemia</w:t>
      </w:r>
      <w:proofErr w:type="spellEnd"/>
      <w:r>
        <w:rPr>
          <w:i/>
          <w:color w:val="000000"/>
        </w:rPr>
        <w:t xml:space="preserve"> salina</w:t>
      </w:r>
      <w:r>
        <w:rPr>
          <w:color w:val="000000"/>
        </w:rPr>
        <w:t xml:space="preserve"> y considerándose como no tóxic</w:t>
      </w:r>
      <w:r w:rsidR="003116BD">
        <w:rPr>
          <w:color w:val="000000"/>
        </w:rPr>
        <w:t>a</w:t>
      </w:r>
      <w:r>
        <w:rPr>
          <w:color w:val="000000"/>
        </w:rPr>
        <w:t>s. Las hojas de muña-</w:t>
      </w:r>
      <w:r>
        <w:rPr>
          <w:color w:val="000000"/>
        </w:rPr>
        <w:lastRenderedPageBreak/>
        <w:t xml:space="preserve">muña, guayaba, palta, y chirimoya indicaron mediana a baja ecotoxicidad en las infusiones estudiadas. </w:t>
      </w:r>
      <w:r w:rsidR="002F42BC">
        <w:rPr>
          <w:color w:val="000000"/>
        </w:rPr>
        <w:t>Teniendo en cuenta</w:t>
      </w:r>
      <w:r>
        <w:rPr>
          <w:color w:val="000000"/>
        </w:rPr>
        <w:t xml:space="preserve"> los resultados obtenidos, las materias primas seleccionadas fueron las hojas de mango (</w:t>
      </w:r>
      <w:proofErr w:type="spellStart"/>
      <w:r>
        <w:rPr>
          <w:i/>
          <w:color w:val="000000"/>
        </w:rPr>
        <w:t>Mangifera</w:t>
      </w:r>
      <w:proofErr w:type="spellEnd"/>
      <w:r>
        <w:rPr>
          <w:i/>
          <w:color w:val="000000"/>
        </w:rPr>
        <w:t xml:space="preserve"> indica</w:t>
      </w:r>
      <w:r>
        <w:rPr>
          <w:color w:val="000000"/>
        </w:rPr>
        <w:t xml:space="preserve"> L.), molle (</w:t>
      </w:r>
      <w:proofErr w:type="spellStart"/>
      <w:r>
        <w:rPr>
          <w:i/>
          <w:color w:val="000000"/>
        </w:rPr>
        <w:t>Schinus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areira</w:t>
      </w:r>
      <w:proofErr w:type="spellEnd"/>
      <w:r>
        <w:rPr>
          <w:color w:val="000000"/>
        </w:rPr>
        <w:t xml:space="preserve"> L.</w:t>
      </w:r>
      <w:r>
        <w:rPr>
          <w:i/>
          <w:color w:val="000000"/>
        </w:rPr>
        <w:t xml:space="preserve">) </w:t>
      </w:r>
      <w:r>
        <w:rPr>
          <w:color w:val="000000"/>
        </w:rPr>
        <w:t>y muña-muña (</w:t>
      </w:r>
      <w:proofErr w:type="spellStart"/>
      <w:r>
        <w:rPr>
          <w:i/>
          <w:color w:val="000000"/>
        </w:rPr>
        <w:t>Clinopodium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gilliesi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Benth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Kuntze</w:t>
      </w:r>
      <w:proofErr w:type="spellEnd"/>
      <w:r>
        <w:rPr>
          <w:color w:val="000000"/>
        </w:rPr>
        <w:t xml:space="preserve">) las cuales serán consideradas para utilizarlas como componentes en formulaciones de mezclas para infusiones. Los resultados </w:t>
      </w:r>
      <w:r w:rsidR="00C97634">
        <w:rPr>
          <w:color w:val="000000"/>
        </w:rPr>
        <w:t>de esta investigación,</w:t>
      </w:r>
      <w:r>
        <w:rPr>
          <w:color w:val="000000"/>
        </w:rPr>
        <w:t xml:space="preserve"> alientan a continuar con los estudios iniciados y proseguir con la formulación de infusiones artesanales con potencial biológico.</w:t>
      </w:r>
    </w:p>
    <w:p w14:paraId="1FB03B9D" w14:textId="77777777" w:rsidR="00D01893" w:rsidRDefault="00D01893">
      <w:pPr>
        <w:spacing w:after="0" w:line="240" w:lineRule="auto"/>
        <w:ind w:left="0" w:hanging="2"/>
      </w:pPr>
    </w:p>
    <w:p w14:paraId="46EBC250" w14:textId="77777777" w:rsidR="00D01893" w:rsidRDefault="00D01893">
      <w:pPr>
        <w:spacing w:after="0" w:line="240" w:lineRule="auto"/>
        <w:ind w:left="0" w:hanging="2"/>
        <w:jc w:val="right"/>
      </w:pPr>
    </w:p>
    <w:p w14:paraId="5D8A4D74" w14:textId="48ABB401" w:rsidR="00D01893" w:rsidRDefault="00FE0304">
      <w:pPr>
        <w:spacing w:after="0" w:line="240" w:lineRule="auto"/>
        <w:ind w:left="0" w:hanging="2"/>
      </w:pPr>
      <w:r>
        <w:t>Palabras Clave: DPPH, Fenoles totales, Ecotoxicidad.</w:t>
      </w:r>
    </w:p>
    <w:p w14:paraId="1DCA458B" w14:textId="77777777" w:rsidR="00D01893" w:rsidRDefault="00D01893">
      <w:pPr>
        <w:spacing w:after="0" w:line="240" w:lineRule="auto"/>
        <w:ind w:left="0" w:hanging="2"/>
      </w:pPr>
    </w:p>
    <w:p w14:paraId="73DA9646" w14:textId="77777777" w:rsidR="00D01893" w:rsidRDefault="00D01893">
      <w:pPr>
        <w:spacing w:after="0" w:line="240" w:lineRule="auto"/>
        <w:ind w:left="0" w:hanging="2"/>
      </w:pPr>
    </w:p>
    <w:p w14:paraId="23C3DEC9" w14:textId="77777777" w:rsidR="00D01893" w:rsidRDefault="00D01893">
      <w:pPr>
        <w:spacing w:after="0" w:line="240" w:lineRule="auto"/>
        <w:ind w:left="0" w:hanging="2"/>
      </w:pPr>
    </w:p>
    <w:p w14:paraId="2C469977" w14:textId="77777777" w:rsidR="00D01893" w:rsidRDefault="00D01893">
      <w:pPr>
        <w:spacing w:after="0" w:line="240" w:lineRule="auto"/>
        <w:ind w:left="0" w:hanging="2"/>
      </w:pPr>
    </w:p>
    <w:sectPr w:rsidR="00D0189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D092" w14:textId="77777777" w:rsidR="0004510E" w:rsidRDefault="0004510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8054A83" w14:textId="77777777" w:rsidR="0004510E" w:rsidRDefault="000451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DFC8" w14:textId="77777777" w:rsidR="0004510E" w:rsidRDefault="0004510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DCDB109" w14:textId="77777777" w:rsidR="0004510E" w:rsidRDefault="0004510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03DF" w14:textId="77777777" w:rsidR="00D01893" w:rsidRDefault="00FE030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A814BAE" wp14:editId="3D4127C8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93"/>
    <w:rsid w:val="000207B2"/>
    <w:rsid w:val="0004510E"/>
    <w:rsid w:val="00080665"/>
    <w:rsid w:val="00080DE0"/>
    <w:rsid w:val="000E13D7"/>
    <w:rsid w:val="001803B8"/>
    <w:rsid w:val="00234A04"/>
    <w:rsid w:val="002F42BC"/>
    <w:rsid w:val="003116BD"/>
    <w:rsid w:val="00381FE8"/>
    <w:rsid w:val="00430F91"/>
    <w:rsid w:val="0044244A"/>
    <w:rsid w:val="004D4752"/>
    <w:rsid w:val="00524DAD"/>
    <w:rsid w:val="00561095"/>
    <w:rsid w:val="00676D97"/>
    <w:rsid w:val="007F52F8"/>
    <w:rsid w:val="009436DE"/>
    <w:rsid w:val="00B17981"/>
    <w:rsid w:val="00BB29F8"/>
    <w:rsid w:val="00C97634"/>
    <w:rsid w:val="00D01893"/>
    <w:rsid w:val="00DC514B"/>
    <w:rsid w:val="00EA738E"/>
    <w:rsid w:val="00F31666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2851"/>
  <w15:docId w15:val="{A7E07DFD-0763-4E4D-9821-17C6BFEB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05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7F050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F050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F050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F050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F05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F05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F050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F05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F050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F050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F050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F050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F050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F050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F050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F050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F050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7F050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F050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F050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D6FA7"/>
    <w:rPr>
      <w:rFonts w:ascii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080D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0D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0DE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0D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0DE0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76D97"/>
    <w:pPr>
      <w:spacing w:after="0" w:line="240" w:lineRule="auto"/>
      <w:ind w:firstLine="0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IROuSXpf5xC8B/Kvv0tuvhCs4g==">AMUW2mVVqj/sSXxYpwhweqJwFXQXL+8UGyQC8ld3QnFrFPh0sZiyAd6MYoZqHpdLdVfSAXlX0Kyhe19UNfvNdcOfDmXXlw4NtXuEw6uiSTZZrwZF48do+HZya/qPiRPlHndz6jmKvqkHKfv+z2LUhb5aQ8qWopW0AOn1EYl7wtqjXGGA4FU+pCM=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MAYRA BAZALAR</cp:lastModifiedBy>
  <cp:revision>3</cp:revision>
  <dcterms:created xsi:type="dcterms:W3CDTF">2022-08-05T15:42:00Z</dcterms:created>
  <dcterms:modified xsi:type="dcterms:W3CDTF">2022-08-05T15:43:00Z</dcterms:modified>
</cp:coreProperties>
</file>