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89AD" w14:textId="77777777" w:rsidR="00E73871" w:rsidRDefault="00E7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Efecto de la concentración de maltodextrina en la </w:t>
      </w:r>
    </w:p>
    <w:p w14:paraId="7EF2C9EE" w14:textId="119F149D" w:rsidR="00091523" w:rsidRDefault="00E7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coencapsulación de antioxidantes naturales</w:t>
      </w:r>
    </w:p>
    <w:p w14:paraId="4339B61B" w14:textId="77777777" w:rsidR="00091523" w:rsidRDefault="00091523">
      <w:pPr>
        <w:spacing w:after="0" w:line="240" w:lineRule="auto"/>
        <w:ind w:left="0" w:hanging="2"/>
        <w:jc w:val="center"/>
      </w:pPr>
    </w:p>
    <w:p w14:paraId="22506DD2" w14:textId="39DB65D2" w:rsidR="00091523" w:rsidRDefault="00DB1FBC">
      <w:pPr>
        <w:spacing w:after="0" w:line="240" w:lineRule="auto"/>
        <w:ind w:left="0" w:hanging="2"/>
        <w:jc w:val="center"/>
      </w:pPr>
      <w:r w:rsidRPr="00DB1FBC">
        <w:t>Ortiz</w:t>
      </w:r>
      <w:r w:rsidR="00170492">
        <w:t xml:space="preserve"> M</w:t>
      </w:r>
      <w:r w:rsidR="00170492">
        <w:rPr>
          <w:vertAlign w:val="superscript"/>
        </w:rPr>
        <w:t xml:space="preserve"> </w:t>
      </w:r>
      <w:r w:rsidR="00170492">
        <w:t>(1)</w:t>
      </w:r>
      <w:r w:rsidRPr="00DB1FBC">
        <w:t>, Piña</w:t>
      </w:r>
      <w:r w:rsidR="00170492">
        <w:t xml:space="preserve"> J (</w:t>
      </w:r>
      <w:r w:rsidRPr="00170492">
        <w:t>1,2</w:t>
      </w:r>
      <w:r w:rsidR="00170492" w:rsidRPr="00170492">
        <w:t>)</w:t>
      </w:r>
      <w:r w:rsidRPr="00DB1FBC">
        <w:t>, Nazareno</w:t>
      </w:r>
      <w:r w:rsidR="00170492">
        <w:t xml:space="preserve"> M (3)</w:t>
      </w:r>
      <w:r w:rsidR="00DB4E4E">
        <w:t xml:space="preserve">, </w:t>
      </w:r>
      <w:r w:rsidR="00170492">
        <w:t>C</w:t>
      </w:r>
      <w:r w:rsidR="00DB4E4E">
        <w:t>otabarren</w:t>
      </w:r>
      <w:r w:rsidR="00170492">
        <w:t xml:space="preserve"> I</w:t>
      </w:r>
      <w:r w:rsidR="00170492">
        <w:rPr>
          <w:vertAlign w:val="superscript"/>
        </w:rPr>
        <w:t xml:space="preserve"> </w:t>
      </w:r>
      <w:r w:rsidR="00170492">
        <w:t>(</w:t>
      </w:r>
      <w:r w:rsidR="00170492" w:rsidRPr="00170492">
        <w:t>1,2)</w:t>
      </w:r>
      <w:r w:rsidR="00DB4E4E">
        <w:t xml:space="preserve"> </w:t>
      </w:r>
      <w:r w:rsidRPr="00DB1FBC">
        <w:t>y Pacheco</w:t>
      </w:r>
      <w:r w:rsidR="00170492">
        <w:t xml:space="preserve"> C</w:t>
      </w:r>
      <w:r w:rsidR="00170492">
        <w:rPr>
          <w:vertAlign w:val="superscript"/>
        </w:rPr>
        <w:t xml:space="preserve"> </w:t>
      </w:r>
      <w:r w:rsidR="00170492">
        <w:t>(</w:t>
      </w:r>
      <w:r w:rsidR="00170492" w:rsidRPr="00170492">
        <w:t>1,2)</w:t>
      </w:r>
    </w:p>
    <w:p w14:paraId="7794ED0D" w14:textId="77777777" w:rsidR="00DB1FBC" w:rsidRDefault="00DB1FBC">
      <w:pPr>
        <w:spacing w:after="0" w:line="240" w:lineRule="auto"/>
        <w:ind w:left="0" w:hanging="2"/>
        <w:jc w:val="center"/>
      </w:pPr>
    </w:p>
    <w:p w14:paraId="1F78D29E" w14:textId="3F3BDEF6" w:rsidR="00DB1FBC" w:rsidRDefault="00DB1FBC" w:rsidP="00DB1F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>
        <w:t xml:space="preserve">(1) Departamento de Ingeniería Química, Universidad Nacional del Sur (UNS) </w:t>
      </w:r>
    </w:p>
    <w:p w14:paraId="7934C326" w14:textId="77777777" w:rsidR="00DB1FBC" w:rsidRDefault="00DB1FBC" w:rsidP="00DB1F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>
        <w:t>Bahía Blanca - Argentina</w:t>
      </w:r>
    </w:p>
    <w:p w14:paraId="782F7B24" w14:textId="73418A0C" w:rsidR="00DB1FBC" w:rsidRDefault="00DB1FBC" w:rsidP="00DB1F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>
        <w:t>(2) Planta Piloto de Ingeniería Química - PLAPIQUI (UNS-CONICET)</w:t>
      </w:r>
    </w:p>
    <w:p w14:paraId="50941B79" w14:textId="77777777" w:rsidR="00DB1FBC" w:rsidRDefault="00DB1FBC" w:rsidP="00DB1F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>
        <w:t>Bahía Blanca - Argentina</w:t>
      </w:r>
    </w:p>
    <w:p w14:paraId="591B8194" w14:textId="30074599" w:rsidR="00DB1FBC" w:rsidRDefault="00DB1FBC" w:rsidP="00DB4E4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line="240" w:lineRule="auto"/>
        <w:ind w:left="0" w:hanging="2"/>
      </w:pPr>
      <w:r>
        <w:t>(3) Facultad de Agronomía y Agroindustrias. Universidad Nacional de Santiago del Estero (UNSE), Santiago del Estero – Argentina</w:t>
      </w:r>
    </w:p>
    <w:p w14:paraId="5F4BBEB6" w14:textId="097C5F3D" w:rsidR="00091523" w:rsidRDefault="00CC0D92" w:rsidP="00DB1F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DB1FBC">
        <w:rPr>
          <w:color w:val="000000"/>
        </w:rPr>
        <w:t xml:space="preserve"> cpacheco@plapiqui.edu.ar</w:t>
      </w:r>
      <w:r>
        <w:rPr>
          <w:color w:val="000000"/>
        </w:rPr>
        <w:tab/>
      </w:r>
    </w:p>
    <w:p w14:paraId="77E03709" w14:textId="77777777" w:rsidR="00091523" w:rsidRDefault="00091523">
      <w:pPr>
        <w:spacing w:after="0" w:line="240" w:lineRule="auto"/>
        <w:ind w:left="0" w:hanging="2"/>
      </w:pPr>
    </w:p>
    <w:p w14:paraId="6FAC5C30" w14:textId="77777777" w:rsidR="00091523" w:rsidRDefault="00CC0D92">
      <w:pPr>
        <w:spacing w:after="0" w:line="240" w:lineRule="auto"/>
        <w:ind w:left="0" w:hanging="2"/>
      </w:pPr>
      <w:r>
        <w:t>RESUMEN</w:t>
      </w:r>
    </w:p>
    <w:p w14:paraId="42598A75" w14:textId="77777777" w:rsidR="00091523" w:rsidRDefault="00091523">
      <w:pPr>
        <w:spacing w:after="0" w:line="240" w:lineRule="auto"/>
        <w:ind w:left="0" w:hanging="2"/>
      </w:pPr>
    </w:p>
    <w:p w14:paraId="25C2E4B6" w14:textId="41CBBA11" w:rsidR="00DB1FBC" w:rsidRDefault="001F50EB" w:rsidP="00E379F5">
      <w:pPr>
        <w:spacing w:after="0" w:line="240" w:lineRule="auto"/>
        <w:ind w:left="0" w:hanging="2"/>
      </w:pPr>
      <w:r>
        <w:t>En la actualidad, grandes volúmenes de subproductos de la agroindustria</w:t>
      </w:r>
      <w:r w:rsidR="00B6514C">
        <w:t>, que aún poseen bioactividad,</w:t>
      </w:r>
      <w:r>
        <w:t xml:space="preserve"> son descartado</w:t>
      </w:r>
      <w:r w:rsidR="00B6514C">
        <w:t xml:space="preserve">s. </w:t>
      </w:r>
      <w:r w:rsidR="002045F0">
        <w:t>Existen</w:t>
      </w:r>
      <w:r w:rsidR="00B6514C">
        <w:t xml:space="preserve"> compuestos antioxidantes presentes en estos desechos </w:t>
      </w:r>
      <w:r w:rsidR="002045F0">
        <w:t xml:space="preserve">que </w:t>
      </w:r>
      <w:r w:rsidR="00B6514C">
        <w:t>pueden ser extraídos de su matriz</w:t>
      </w:r>
      <w:r w:rsidR="002045F0">
        <w:t xml:space="preserve"> y vehiculizados para ser consumidos</w:t>
      </w:r>
      <w:r w:rsidR="00B6514C">
        <w:t xml:space="preserve">. </w:t>
      </w:r>
      <w:r w:rsidR="00FA3B6F">
        <w:t xml:space="preserve">Sin embargo, </w:t>
      </w:r>
      <w:r w:rsidR="00B6514C">
        <w:t>estas sustancias</w:t>
      </w:r>
      <w:r w:rsidR="00DB1FBC" w:rsidRPr="00DB1FBC">
        <w:t xml:space="preserve"> son fácilmente degradables debido a su sensibilidad a factores ambientales, tales como la luz, el calor, la humedad y el oxígeno</w:t>
      </w:r>
      <w:r w:rsidR="00FA3B6F">
        <w:t xml:space="preserve">, </w:t>
      </w:r>
      <w:r w:rsidR="00DB1FBC" w:rsidRPr="00DB1FBC">
        <w:t xml:space="preserve">debiendo ser protegidos para preservar su bioactividad. La microencapsulación se presenta como una herramienta efectiva para </w:t>
      </w:r>
      <w:r w:rsidR="003E1ED1">
        <w:t xml:space="preserve">cumplir </w:t>
      </w:r>
      <w:r w:rsidR="002045F0">
        <w:t>ambos</w:t>
      </w:r>
      <w:r w:rsidR="003E1ED1">
        <w:t xml:space="preserve"> objetivo</w:t>
      </w:r>
      <w:r w:rsidR="002045F0">
        <w:t>s, su vehiculización en forma de polvo y su protección a través del agente encapsulante agregado</w:t>
      </w:r>
      <w:r w:rsidR="000E4C31">
        <w:t>. En el presente trabajo</w:t>
      </w:r>
      <w:r w:rsidR="00B43E94">
        <w:t>,</w:t>
      </w:r>
      <w:r w:rsidR="000E4C31">
        <w:t xml:space="preserve"> </w:t>
      </w:r>
      <w:r w:rsidR="00B43E94">
        <w:t>se propone la coencapsulación de antioxidantes provenientes de albedo y jugo de naranja</w:t>
      </w:r>
      <w:r w:rsidR="002045F0">
        <w:t>,</w:t>
      </w:r>
      <w:r w:rsidR="00B43E94">
        <w:t xml:space="preserve"> y </w:t>
      </w:r>
      <w:r w:rsidR="002045F0">
        <w:t xml:space="preserve">de </w:t>
      </w:r>
      <w:r w:rsidR="00B43E94">
        <w:t>hoja de alcaparro. El albedo constituye la parte blanca de la cáscara, la cual es rica en hesperidina</w:t>
      </w:r>
      <w:r w:rsidR="003E1ED1">
        <w:t>, compuesto fenólico de la familia de los flavonoides</w:t>
      </w:r>
      <w:r w:rsidR="00B43E94">
        <w:t>. En el caso de la hoja de alcaparro, ésta posee un contenido apreciable de</w:t>
      </w:r>
      <w:r w:rsidR="002045F0">
        <w:t>l flavonoide</w:t>
      </w:r>
      <w:r w:rsidR="00B43E94">
        <w:t xml:space="preserve"> rutina, mientras que el jugo de naranja es conocido por su alto contenido de ácido ascórbico</w:t>
      </w:r>
      <w:r w:rsidR="00D44162">
        <w:t xml:space="preserve"> (AA)</w:t>
      </w:r>
      <w:r w:rsidR="00B43E94">
        <w:t xml:space="preserve">. </w:t>
      </w:r>
      <w:r w:rsidR="00CC19FF">
        <w:t xml:space="preserve">Se microencapsularon extractos acuosos de las tres fuentes mediante secado por atomización utilizando maltodextrina </w:t>
      </w:r>
      <w:r w:rsidR="000F4B92">
        <w:t xml:space="preserve">(MD) </w:t>
      </w:r>
      <w:r w:rsidR="00CC19FF">
        <w:t xml:space="preserve">como agente encapsulante. </w:t>
      </w:r>
      <w:r w:rsidR="000F4B92">
        <w:t xml:space="preserve">Se evaluó el efecto de </w:t>
      </w:r>
      <w:r w:rsidR="002045F0">
        <w:t>su</w:t>
      </w:r>
      <w:r w:rsidR="000F4B92">
        <w:t xml:space="preserve"> concentración sobre </w:t>
      </w:r>
      <w:r w:rsidR="00E379F5">
        <w:t>la higroscopicidad y</w:t>
      </w:r>
      <w:r w:rsidR="00485218">
        <w:t xml:space="preserve"> el contenido de</w:t>
      </w:r>
      <w:r w:rsidR="000F4B92">
        <w:t xml:space="preserve"> hesperidina, rutina</w:t>
      </w:r>
      <w:r w:rsidR="00485218">
        <w:t xml:space="preserve"> y</w:t>
      </w:r>
      <w:r w:rsidR="000F4B92">
        <w:t xml:space="preserve"> </w:t>
      </w:r>
      <w:r w:rsidR="00D44162">
        <w:t>AA</w:t>
      </w:r>
      <w:r w:rsidR="00485218">
        <w:t xml:space="preserve">, así como también sobre </w:t>
      </w:r>
      <w:r w:rsidR="000F4B92">
        <w:t xml:space="preserve">la actividad </w:t>
      </w:r>
      <w:r w:rsidR="00485218">
        <w:t>antioxidante</w:t>
      </w:r>
      <w:r w:rsidR="000F4B92">
        <w:t xml:space="preserve"> </w:t>
      </w:r>
      <w:r w:rsidR="00D44162">
        <w:t xml:space="preserve">(AAO) </w:t>
      </w:r>
      <w:r w:rsidR="000F4B92">
        <w:t>de los polvos obtenidos</w:t>
      </w:r>
      <w:r w:rsidR="00D44162">
        <w:t xml:space="preserve"> medida mediante el método de FRAP</w:t>
      </w:r>
      <w:r w:rsidR="005A5024">
        <w:t xml:space="preserve"> </w:t>
      </w:r>
      <w:r w:rsidR="005A5024" w:rsidRPr="005A5024">
        <w:t>(Ferric Reducing Antioxidant Power)</w:t>
      </w:r>
      <w:r w:rsidR="000F4B92">
        <w:t>.</w:t>
      </w:r>
      <w:r w:rsidR="00E379F5">
        <w:t xml:space="preserve"> </w:t>
      </w:r>
      <w:r w:rsidR="00A51697">
        <w:t>Estas cuatro últimas propiedades se expresaron en mg de estándar de referencia/g</w:t>
      </w:r>
      <w:r w:rsidR="00A51697" w:rsidRPr="00A51697">
        <w:rPr>
          <w:vertAlign w:val="subscript"/>
        </w:rPr>
        <w:t>activo</w:t>
      </w:r>
      <w:r w:rsidR="00A90C55">
        <w:rPr>
          <w:vertAlign w:val="subscript"/>
        </w:rPr>
        <w:t xml:space="preserve"> </w:t>
      </w:r>
      <w:r w:rsidR="00A90C55" w:rsidRPr="00A90C55">
        <w:t>-considerándose</w:t>
      </w:r>
      <w:r w:rsidR="00A90C55">
        <w:rPr>
          <w:vertAlign w:val="subscript"/>
        </w:rPr>
        <w:t xml:space="preserve"> </w:t>
      </w:r>
      <w:r w:rsidR="00A90C55">
        <w:t xml:space="preserve">“activo” a los sólidos totales </w:t>
      </w:r>
      <w:r w:rsidR="00233089">
        <w:t>descontando</w:t>
      </w:r>
      <w:r w:rsidR="00A90C55">
        <w:t xml:space="preserve"> la maltodextrina-</w:t>
      </w:r>
      <w:r w:rsidR="00A51697">
        <w:t xml:space="preserve">, de manera de poder cuantificar el efecto del proceso sobre estas propiedades </w:t>
      </w:r>
      <w:r w:rsidR="00233089">
        <w:t>anulando</w:t>
      </w:r>
      <w:r w:rsidR="00A51697">
        <w:t xml:space="preserve"> el efecto de dilución del agente encapsulante. </w:t>
      </w:r>
      <w:r w:rsidR="00E379F5">
        <w:t xml:space="preserve">Se establecieron tres niveles de </w:t>
      </w:r>
      <w:r w:rsidR="00BB192A">
        <w:t>concentración de MD: 60, 70 y 80% (w/w</w:t>
      </w:r>
      <w:r w:rsidR="00BB192A" w:rsidRPr="00BB192A">
        <w:rPr>
          <w:vertAlign w:val="subscript"/>
        </w:rPr>
        <w:t>sól.totales</w:t>
      </w:r>
      <w:r w:rsidR="00BB192A">
        <w:t>). Las condiciones operativas del secadero spray se establecieron en: T</w:t>
      </w:r>
      <w:r w:rsidR="00BB192A" w:rsidRPr="00BB192A">
        <w:rPr>
          <w:vertAlign w:val="subscript"/>
        </w:rPr>
        <w:t>in</w:t>
      </w:r>
      <w:r w:rsidR="00BB192A">
        <w:t xml:space="preserve"> = 1</w:t>
      </w:r>
      <w:r w:rsidR="00485218">
        <w:t>4</w:t>
      </w:r>
      <w:r w:rsidR="00BB192A">
        <w:t xml:space="preserve">0 ºC, </w:t>
      </w:r>
      <w:r w:rsidR="00C83784" w:rsidRPr="00C83784">
        <w:t>caudal de líquido atomizado: 7 mL/min, caudal de aire de atomización: 831 L/h (STP), caudal de gas de secado (nitrógeno): 33 m</w:t>
      </w:r>
      <w:r w:rsidR="00C83784" w:rsidRPr="00C83784">
        <w:rPr>
          <w:vertAlign w:val="superscript"/>
        </w:rPr>
        <w:t>3</w:t>
      </w:r>
      <w:r w:rsidR="00C83784" w:rsidRPr="00C83784">
        <w:t>/h</w:t>
      </w:r>
      <w:r w:rsidR="00C83784">
        <w:t xml:space="preserve">. </w:t>
      </w:r>
      <w:r w:rsidR="00485218">
        <w:t xml:space="preserve">No se encontraron diferencias </w:t>
      </w:r>
      <w:r w:rsidR="00240929">
        <w:t xml:space="preserve">(p&gt;0,05) </w:t>
      </w:r>
      <w:r w:rsidR="00485218">
        <w:t>en el contenido de rutina y hesperidina</w:t>
      </w:r>
      <w:r w:rsidR="00240929">
        <w:t xml:space="preserve"> para las tres concentraciones de agente encapsulante utilizadas, obteniéndose los siguientes valores medios: </w:t>
      </w:r>
      <w:r w:rsidR="00A51697">
        <w:t>3,7 ± 0,3 mg</w:t>
      </w:r>
      <w:r w:rsidR="00A51697" w:rsidRPr="00A51697">
        <w:rPr>
          <w:vertAlign w:val="subscript"/>
        </w:rPr>
        <w:t>hesperidina</w:t>
      </w:r>
      <w:r w:rsidR="00A51697">
        <w:t>/g</w:t>
      </w:r>
      <w:r w:rsidR="00A51697" w:rsidRPr="00A51697">
        <w:rPr>
          <w:vertAlign w:val="subscript"/>
        </w:rPr>
        <w:t>activo</w:t>
      </w:r>
      <w:r w:rsidR="00A51697">
        <w:t xml:space="preserve"> y 0,9</w:t>
      </w:r>
      <w:r w:rsidR="002C29D7">
        <w:t>3</w:t>
      </w:r>
      <w:r w:rsidR="00A51697">
        <w:t xml:space="preserve"> ± 0,0</w:t>
      </w:r>
      <w:r w:rsidR="002C29D7">
        <w:t>4</w:t>
      </w:r>
      <w:r w:rsidR="00A51697">
        <w:t xml:space="preserve"> mg</w:t>
      </w:r>
      <w:r w:rsidR="00A51697" w:rsidRPr="00A51697">
        <w:rPr>
          <w:vertAlign w:val="subscript"/>
        </w:rPr>
        <w:t>rutina</w:t>
      </w:r>
      <w:r w:rsidR="00A51697">
        <w:t>/g</w:t>
      </w:r>
      <w:r w:rsidR="00A51697" w:rsidRPr="00A51697">
        <w:rPr>
          <w:vertAlign w:val="subscript"/>
        </w:rPr>
        <w:t>activo</w:t>
      </w:r>
      <w:r w:rsidR="00A51697">
        <w:t>.</w:t>
      </w:r>
      <w:r w:rsidR="002C29D7">
        <w:t xml:space="preserve"> En el caso del ácido ascórbico, compuesto </w:t>
      </w:r>
      <w:r w:rsidR="002045F0">
        <w:t>más termolábil</w:t>
      </w:r>
      <w:r w:rsidR="002C29D7">
        <w:t xml:space="preserve"> </w:t>
      </w:r>
      <w:r w:rsidR="0049070C">
        <w:t>respecto a</w:t>
      </w:r>
      <w:r w:rsidR="002C29D7">
        <w:t xml:space="preserve"> los flavonoides, se encontró el mismo resultado</w:t>
      </w:r>
      <w:r w:rsidR="00233089">
        <w:t>:</w:t>
      </w:r>
      <w:r w:rsidR="002C29D7">
        <w:t xml:space="preserve"> </w:t>
      </w:r>
      <w:r w:rsidR="00D44162">
        <w:t xml:space="preserve">su contenido en los polvos compuestos por diferentes niveles de maltodextrina fue similar (p&gt;0,05), siendo el valor promedio </w:t>
      </w:r>
      <w:r w:rsidR="00D44162">
        <w:lastRenderedPageBreak/>
        <w:t>de 4,0 ± 0,4 mg</w:t>
      </w:r>
      <w:r w:rsidR="00D44162" w:rsidRPr="00D44162">
        <w:rPr>
          <w:vertAlign w:val="subscript"/>
        </w:rPr>
        <w:t>AA</w:t>
      </w:r>
      <w:r w:rsidR="00D44162">
        <w:t>/g</w:t>
      </w:r>
      <w:r w:rsidR="00D44162" w:rsidRPr="00D44162">
        <w:rPr>
          <w:vertAlign w:val="subscript"/>
        </w:rPr>
        <w:t>activo</w:t>
      </w:r>
      <w:r w:rsidR="00D44162">
        <w:t xml:space="preserve">. En cuanto a la AAO, resultó similar </w:t>
      </w:r>
      <w:r w:rsidR="003A4A28">
        <w:t xml:space="preserve">(p&gt;0,05) </w:t>
      </w:r>
      <w:r w:rsidR="00D44162">
        <w:t xml:space="preserve">para los tres polvos obtenidos, presentando un valor promedio de </w:t>
      </w:r>
      <w:r w:rsidR="004C78B6">
        <w:t xml:space="preserve">13,9 ± 1,2 mg TE (equivalentes de </w:t>
      </w:r>
      <w:proofErr w:type="gramStart"/>
      <w:r w:rsidR="004C78B6">
        <w:t>Trolox)/</w:t>
      </w:r>
      <w:proofErr w:type="gramEnd"/>
      <w:r w:rsidR="004C78B6">
        <w:t>g</w:t>
      </w:r>
      <w:r w:rsidR="004C78B6" w:rsidRPr="004C78B6">
        <w:rPr>
          <w:vertAlign w:val="subscript"/>
        </w:rPr>
        <w:t>activo</w:t>
      </w:r>
      <w:r w:rsidR="00A90C55">
        <w:t>, resultado esperable considerando que los compuestos activos analizados son los mayoritarios en el extracto encapsulado. Por último, la higroscopicidad</w:t>
      </w:r>
      <w:r w:rsidR="003A4A28">
        <w:t xml:space="preserve"> de los polvos resultó similar para 60 y 70% de MD (18,1</w:t>
      </w:r>
      <w:r w:rsidR="004C31AC">
        <w:t xml:space="preserve"> </w:t>
      </w:r>
      <w:r w:rsidR="003A4A28">
        <w:t>± 0,5</w:t>
      </w:r>
      <w:r w:rsidR="004C31AC">
        <w:t xml:space="preserve"> %</w:t>
      </w:r>
      <w:r w:rsidR="003A4A28">
        <w:t xml:space="preserve">), mientras que para 80%, ésta resultó menor (p&gt;0,05) </w:t>
      </w:r>
      <w:r w:rsidR="004C31AC">
        <w:t xml:space="preserve">e igual a 15,8 ± 0,3 %. </w:t>
      </w:r>
      <w:r w:rsidR="004E5E30">
        <w:t>Aún cuando los activos se encuentran en su dilución máxima para esta concentración de MD, resulta conveniente encapsular en estas condiciones para favorecer la estabilidad del polvo durante su almacenamiento.</w:t>
      </w:r>
    </w:p>
    <w:p w14:paraId="582C3557" w14:textId="77777777" w:rsidR="00DB1FBC" w:rsidRDefault="00DB1FBC">
      <w:pPr>
        <w:spacing w:after="0" w:line="240" w:lineRule="auto"/>
        <w:ind w:left="0" w:hanging="2"/>
      </w:pPr>
    </w:p>
    <w:p w14:paraId="6537A5C9" w14:textId="66D31628" w:rsidR="00091523" w:rsidRDefault="00CC0D92">
      <w:pPr>
        <w:spacing w:after="0" w:line="240" w:lineRule="auto"/>
        <w:ind w:left="0" w:hanging="2"/>
      </w:pPr>
      <w:r>
        <w:t xml:space="preserve">Palabras Clave: </w:t>
      </w:r>
      <w:r w:rsidR="000B7B33">
        <w:t>ácido ascórbico, flavonoides</w:t>
      </w:r>
      <w:r w:rsidR="00233089">
        <w:t xml:space="preserve">, </w:t>
      </w:r>
      <w:r w:rsidR="000B7B33">
        <w:t>subproductos agroindustriales</w:t>
      </w:r>
      <w:r w:rsidR="00233089">
        <w:t xml:space="preserve">, </w:t>
      </w:r>
      <w:r w:rsidR="000B7B33">
        <w:t>microencapsulación</w:t>
      </w:r>
      <w:r w:rsidR="00233089">
        <w:t xml:space="preserve">, </w:t>
      </w:r>
      <w:r w:rsidR="000B7B33">
        <w:t>secado por atomización</w:t>
      </w:r>
      <w:r w:rsidR="00233089">
        <w:t>.</w:t>
      </w:r>
    </w:p>
    <w:p w14:paraId="22DFFDB7" w14:textId="77777777" w:rsidR="00091523" w:rsidRDefault="00091523">
      <w:pPr>
        <w:spacing w:after="0" w:line="240" w:lineRule="auto"/>
        <w:ind w:left="0" w:hanging="2"/>
      </w:pPr>
    </w:p>
    <w:p w14:paraId="06152C54" w14:textId="77777777" w:rsidR="00091523" w:rsidRDefault="00091523">
      <w:pPr>
        <w:spacing w:after="0" w:line="240" w:lineRule="auto"/>
        <w:ind w:left="0" w:hanging="2"/>
      </w:pPr>
    </w:p>
    <w:p w14:paraId="755233A2" w14:textId="77777777" w:rsidR="00091523" w:rsidRDefault="00091523">
      <w:pPr>
        <w:spacing w:after="0" w:line="240" w:lineRule="auto"/>
        <w:ind w:left="0" w:hanging="2"/>
      </w:pPr>
    </w:p>
    <w:sectPr w:rsidR="0009152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6B2C" w14:textId="77777777" w:rsidR="00BC18BC" w:rsidRDefault="00BC18B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D09BF8C" w14:textId="77777777" w:rsidR="00BC18BC" w:rsidRDefault="00BC18B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78F3" w14:textId="77777777" w:rsidR="00BC18BC" w:rsidRDefault="00BC18B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311949" w14:textId="77777777" w:rsidR="00BC18BC" w:rsidRDefault="00BC18B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EE2C" w14:textId="77777777" w:rsidR="00091523" w:rsidRDefault="00CC0D9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658FC8B" wp14:editId="0EDD20C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23"/>
    <w:rsid w:val="00091523"/>
    <w:rsid w:val="000B7B33"/>
    <w:rsid w:val="000E4C31"/>
    <w:rsid w:val="000F4B92"/>
    <w:rsid w:val="00170492"/>
    <w:rsid w:val="001B71E4"/>
    <w:rsid w:val="001F50EB"/>
    <w:rsid w:val="002045F0"/>
    <w:rsid w:val="00233089"/>
    <w:rsid w:val="00240929"/>
    <w:rsid w:val="002C29D7"/>
    <w:rsid w:val="003A4A28"/>
    <w:rsid w:val="003E1ED1"/>
    <w:rsid w:val="003E5054"/>
    <w:rsid w:val="00485218"/>
    <w:rsid w:val="0049070C"/>
    <w:rsid w:val="004C31AC"/>
    <w:rsid w:val="004C78B6"/>
    <w:rsid w:val="004E5E30"/>
    <w:rsid w:val="00563C3E"/>
    <w:rsid w:val="005A5024"/>
    <w:rsid w:val="006061FC"/>
    <w:rsid w:val="00A51697"/>
    <w:rsid w:val="00A90C55"/>
    <w:rsid w:val="00B43E94"/>
    <w:rsid w:val="00B6514C"/>
    <w:rsid w:val="00BB192A"/>
    <w:rsid w:val="00BC18BC"/>
    <w:rsid w:val="00C57CC5"/>
    <w:rsid w:val="00C83784"/>
    <w:rsid w:val="00CC0D92"/>
    <w:rsid w:val="00CC19FF"/>
    <w:rsid w:val="00D44162"/>
    <w:rsid w:val="00DB1FBC"/>
    <w:rsid w:val="00DB4E4E"/>
    <w:rsid w:val="00E379F5"/>
    <w:rsid w:val="00E73871"/>
    <w:rsid w:val="00F62AF5"/>
    <w:rsid w:val="00F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CBAF"/>
  <w15:docId w15:val="{8A41EEBE-FF57-4222-AD5C-2E611202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</cp:lastModifiedBy>
  <cp:revision>12</cp:revision>
  <dcterms:created xsi:type="dcterms:W3CDTF">2022-06-14T19:29:00Z</dcterms:created>
  <dcterms:modified xsi:type="dcterms:W3CDTF">2022-09-01T17:48:00Z</dcterms:modified>
</cp:coreProperties>
</file>