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49" w:rsidRDefault="00C80C1F">
      <w:pPr>
        <w:pBdr>
          <w:top w:val="nil"/>
          <w:left w:val="nil"/>
          <w:bottom w:val="nil"/>
          <w:right w:val="nil"/>
          <w:between w:val="nil"/>
        </w:pBdr>
        <w:spacing w:after="0" w:line="240" w:lineRule="auto"/>
        <w:ind w:left="0" w:hanging="2"/>
        <w:jc w:val="center"/>
        <w:rPr>
          <w:b/>
        </w:rPr>
      </w:pPr>
      <w:bookmarkStart w:id="0" w:name="_GoBack"/>
      <w:bookmarkEnd w:id="0"/>
      <w:r w:rsidRPr="00C80C1F">
        <w:rPr>
          <w:b/>
        </w:rPr>
        <w:t xml:space="preserve">Efecto de la pandemia en sistemas de </w:t>
      </w:r>
      <w:r w:rsidR="000E7FF1">
        <w:rPr>
          <w:b/>
        </w:rPr>
        <w:t xml:space="preserve">gestión de </w:t>
      </w:r>
      <w:r w:rsidRPr="00C80C1F">
        <w:rPr>
          <w:b/>
        </w:rPr>
        <w:t>inocuidad, aplicados a programas alimentarios</w:t>
      </w:r>
    </w:p>
    <w:p w:rsidR="00C80C1F" w:rsidRDefault="00C80C1F">
      <w:pPr>
        <w:pBdr>
          <w:top w:val="nil"/>
          <w:left w:val="nil"/>
          <w:bottom w:val="nil"/>
          <w:right w:val="nil"/>
          <w:between w:val="nil"/>
        </w:pBdr>
        <w:spacing w:after="0" w:line="240" w:lineRule="auto"/>
        <w:ind w:left="0" w:hanging="2"/>
        <w:jc w:val="center"/>
        <w:rPr>
          <w:b/>
        </w:rPr>
      </w:pPr>
    </w:p>
    <w:p w:rsidR="00297AD2" w:rsidRPr="00C03C49" w:rsidRDefault="0064118C" w:rsidP="00B01FD2">
      <w:pPr>
        <w:pStyle w:val="NormalWeb"/>
        <w:spacing w:after="0"/>
        <w:ind w:left="0" w:hanging="2"/>
        <w:rPr>
          <w:rFonts w:ascii="Arial" w:eastAsia="Times New Roman" w:hAnsi="Arial" w:cs="Arial"/>
          <w:color w:val="000000" w:themeColor="text1"/>
          <w:position w:val="0"/>
          <w:lang w:eastAsia="es-AR"/>
        </w:rPr>
      </w:pPr>
      <w:proofErr w:type="spellStart"/>
      <w:r w:rsidRPr="00C03C49">
        <w:rPr>
          <w:rFonts w:ascii="Arial" w:eastAsia="Times New Roman" w:hAnsi="Arial" w:cs="Arial"/>
          <w:color w:val="000000" w:themeColor="text1"/>
          <w:position w:val="0"/>
          <w:lang w:eastAsia="es-AR"/>
        </w:rPr>
        <w:t>Demichelis</w:t>
      </w:r>
      <w:proofErr w:type="spellEnd"/>
      <w:r w:rsidRPr="00C03C49">
        <w:rPr>
          <w:rFonts w:ascii="Arial" w:eastAsia="Times New Roman" w:hAnsi="Arial" w:cs="Arial"/>
          <w:color w:val="000000" w:themeColor="text1"/>
          <w:position w:val="0"/>
          <w:lang w:eastAsia="es-AR"/>
        </w:rPr>
        <w:t xml:space="preserve"> N (1), </w:t>
      </w:r>
      <w:proofErr w:type="spellStart"/>
      <w:r w:rsidR="000F7333" w:rsidRPr="00C03C49">
        <w:rPr>
          <w:rFonts w:ascii="Arial" w:eastAsia="Times New Roman" w:hAnsi="Arial" w:cs="Arial"/>
          <w:color w:val="000000" w:themeColor="text1"/>
          <w:position w:val="0"/>
          <w:lang w:eastAsia="es-AR"/>
        </w:rPr>
        <w:t>Maggi</w:t>
      </w:r>
      <w:proofErr w:type="spellEnd"/>
      <w:r w:rsidR="000F7333" w:rsidRPr="00C03C49">
        <w:rPr>
          <w:rFonts w:ascii="Arial" w:eastAsia="Times New Roman" w:hAnsi="Arial" w:cs="Arial"/>
          <w:color w:val="000000" w:themeColor="text1"/>
          <w:position w:val="0"/>
          <w:lang w:eastAsia="es-AR"/>
        </w:rPr>
        <w:t xml:space="preserve"> ML (1), </w:t>
      </w:r>
      <w:proofErr w:type="spellStart"/>
      <w:r w:rsidR="000F7333" w:rsidRPr="00C03C49">
        <w:rPr>
          <w:rFonts w:ascii="Arial" w:eastAsia="Times New Roman" w:hAnsi="Arial" w:cs="Arial"/>
          <w:color w:val="000000" w:themeColor="text1"/>
          <w:position w:val="0"/>
          <w:lang w:eastAsia="es-AR"/>
        </w:rPr>
        <w:t>Carrere</w:t>
      </w:r>
      <w:proofErr w:type="spellEnd"/>
      <w:r w:rsidR="000F7333" w:rsidRPr="00C03C49">
        <w:rPr>
          <w:rFonts w:ascii="Arial" w:eastAsia="Times New Roman" w:hAnsi="Arial" w:cs="Arial"/>
          <w:color w:val="000000" w:themeColor="text1"/>
          <w:position w:val="0"/>
          <w:lang w:eastAsia="es-AR"/>
        </w:rPr>
        <w:t xml:space="preserve"> A (1</w:t>
      </w:r>
      <w:r w:rsidR="00704921" w:rsidRPr="00C03C49">
        <w:rPr>
          <w:rFonts w:ascii="Arial" w:eastAsia="Times New Roman" w:hAnsi="Arial" w:cs="Arial"/>
          <w:color w:val="000000" w:themeColor="text1"/>
          <w:position w:val="0"/>
          <w:lang w:eastAsia="es-AR"/>
        </w:rPr>
        <w:t>),</w:t>
      </w:r>
      <w:r w:rsidR="000F7333" w:rsidRPr="00C03C49">
        <w:rPr>
          <w:rFonts w:ascii="Arial" w:eastAsia="Times New Roman" w:hAnsi="Arial" w:cs="Arial"/>
          <w:color w:val="000000" w:themeColor="text1"/>
          <w:position w:val="0"/>
          <w:lang w:eastAsia="es-AR"/>
        </w:rPr>
        <w:t xml:space="preserve"> </w:t>
      </w:r>
      <w:proofErr w:type="spellStart"/>
      <w:r w:rsidR="000F7333" w:rsidRPr="00C03C49">
        <w:rPr>
          <w:rFonts w:ascii="Arial" w:eastAsia="Times New Roman" w:hAnsi="Arial" w:cs="Arial"/>
          <w:color w:val="000000" w:themeColor="text1"/>
          <w:position w:val="0"/>
          <w:lang w:eastAsia="es-AR"/>
        </w:rPr>
        <w:t>Cometto</w:t>
      </w:r>
      <w:proofErr w:type="spellEnd"/>
      <w:r w:rsidR="000F7333" w:rsidRPr="00C03C49">
        <w:rPr>
          <w:rFonts w:ascii="Arial" w:eastAsia="Times New Roman" w:hAnsi="Arial" w:cs="Arial"/>
          <w:color w:val="000000" w:themeColor="text1"/>
          <w:position w:val="0"/>
          <w:lang w:eastAsia="es-AR"/>
        </w:rPr>
        <w:t xml:space="preserve"> M</w:t>
      </w:r>
      <w:r w:rsidR="00704921" w:rsidRPr="00C03C49">
        <w:rPr>
          <w:rFonts w:ascii="Arial" w:eastAsia="Times New Roman" w:hAnsi="Arial" w:cs="Arial"/>
          <w:color w:val="000000" w:themeColor="text1"/>
          <w:position w:val="0"/>
          <w:lang w:eastAsia="es-AR"/>
        </w:rPr>
        <w:t xml:space="preserve"> </w:t>
      </w:r>
      <w:r w:rsidR="000F7333" w:rsidRPr="00C03C49">
        <w:rPr>
          <w:rFonts w:ascii="Arial" w:eastAsia="Times New Roman" w:hAnsi="Arial" w:cs="Arial"/>
          <w:color w:val="000000" w:themeColor="text1"/>
          <w:position w:val="0"/>
          <w:lang w:eastAsia="es-AR"/>
        </w:rPr>
        <w:t>(1</w:t>
      </w:r>
      <w:r w:rsidR="00C03C49" w:rsidRPr="00C03C49">
        <w:rPr>
          <w:rFonts w:ascii="Arial" w:eastAsia="Times New Roman" w:hAnsi="Arial" w:cs="Arial"/>
          <w:color w:val="000000" w:themeColor="text1"/>
          <w:position w:val="0"/>
          <w:lang w:eastAsia="es-AR"/>
        </w:rPr>
        <w:t>),</w:t>
      </w:r>
      <w:r w:rsidR="000F7333" w:rsidRPr="00C03C49">
        <w:rPr>
          <w:rFonts w:ascii="Arial" w:eastAsia="Times New Roman" w:hAnsi="Arial" w:cs="Arial"/>
          <w:color w:val="000000" w:themeColor="text1"/>
          <w:position w:val="0"/>
          <w:lang w:eastAsia="es-AR"/>
        </w:rPr>
        <w:t xml:space="preserve"> </w:t>
      </w:r>
      <w:proofErr w:type="spellStart"/>
      <w:r w:rsidR="000F7333" w:rsidRPr="00C03C49">
        <w:rPr>
          <w:rFonts w:ascii="Arial" w:eastAsia="Times New Roman" w:hAnsi="Arial" w:cs="Arial"/>
          <w:color w:val="000000" w:themeColor="text1"/>
          <w:position w:val="0"/>
          <w:lang w:eastAsia="es-AR"/>
        </w:rPr>
        <w:t>Nogues</w:t>
      </w:r>
      <w:proofErr w:type="spellEnd"/>
      <w:r w:rsidR="000F7333" w:rsidRPr="00C03C49">
        <w:rPr>
          <w:rFonts w:ascii="Arial" w:eastAsia="Times New Roman" w:hAnsi="Arial" w:cs="Arial"/>
          <w:color w:val="000000" w:themeColor="text1"/>
          <w:position w:val="0"/>
          <w:lang w:eastAsia="es-AR"/>
        </w:rPr>
        <w:t xml:space="preserve"> Peralta </w:t>
      </w:r>
      <w:proofErr w:type="gramStart"/>
      <w:r w:rsidR="000F7333" w:rsidRPr="00C03C49">
        <w:rPr>
          <w:rFonts w:ascii="Arial" w:eastAsia="Times New Roman" w:hAnsi="Arial" w:cs="Arial"/>
          <w:color w:val="000000" w:themeColor="text1"/>
          <w:position w:val="0"/>
          <w:lang w:eastAsia="es-AR"/>
        </w:rPr>
        <w:t>M(</w:t>
      </w:r>
      <w:proofErr w:type="gramEnd"/>
      <w:r w:rsidR="000F7333" w:rsidRPr="00C03C49">
        <w:rPr>
          <w:rFonts w:ascii="Arial" w:eastAsia="Times New Roman" w:hAnsi="Arial" w:cs="Arial"/>
          <w:color w:val="000000" w:themeColor="text1"/>
          <w:position w:val="0"/>
          <w:lang w:eastAsia="es-AR"/>
        </w:rPr>
        <w:t>1), Avalos Saavedra D (1), Acevedo A</w:t>
      </w:r>
      <w:r w:rsidR="00D8773C" w:rsidRPr="00C03C49">
        <w:rPr>
          <w:rFonts w:ascii="Arial" w:eastAsia="Times New Roman" w:hAnsi="Arial" w:cs="Arial"/>
          <w:color w:val="000000" w:themeColor="text1"/>
          <w:position w:val="0"/>
          <w:lang w:eastAsia="es-AR"/>
        </w:rPr>
        <w:t xml:space="preserve"> </w:t>
      </w:r>
      <w:r w:rsidR="000F7333" w:rsidRPr="00C03C49">
        <w:rPr>
          <w:rFonts w:ascii="Arial" w:eastAsia="Times New Roman" w:hAnsi="Arial" w:cs="Arial"/>
          <w:color w:val="000000" w:themeColor="text1"/>
          <w:position w:val="0"/>
          <w:lang w:eastAsia="es-AR"/>
        </w:rPr>
        <w:t xml:space="preserve">(1), Paredes S(1), Alessio </w:t>
      </w:r>
      <w:proofErr w:type="spellStart"/>
      <w:r w:rsidR="000F7333" w:rsidRPr="00C03C49">
        <w:rPr>
          <w:rFonts w:ascii="Arial" w:eastAsia="Times New Roman" w:hAnsi="Arial" w:cs="Arial"/>
          <w:color w:val="000000" w:themeColor="text1"/>
          <w:position w:val="0"/>
          <w:lang w:eastAsia="es-AR"/>
        </w:rPr>
        <w:t>Lax</w:t>
      </w:r>
      <w:proofErr w:type="spellEnd"/>
      <w:r w:rsidR="000F7333" w:rsidRPr="00C03C49">
        <w:rPr>
          <w:rFonts w:ascii="Arial" w:eastAsia="Times New Roman" w:hAnsi="Arial" w:cs="Arial"/>
          <w:color w:val="000000" w:themeColor="text1"/>
          <w:position w:val="0"/>
          <w:lang w:eastAsia="es-AR"/>
        </w:rPr>
        <w:t xml:space="preserve"> A (1). </w:t>
      </w:r>
    </w:p>
    <w:p w:rsidR="00F12DDE" w:rsidRPr="00297AD2" w:rsidRDefault="00F12DDE" w:rsidP="00B01FD2">
      <w:pPr>
        <w:pStyle w:val="NormalWeb"/>
        <w:spacing w:after="0"/>
        <w:ind w:left="0" w:hanging="2"/>
        <w:rPr>
          <w:rFonts w:eastAsia="Times New Roman"/>
          <w:position w:val="0"/>
          <w:lang w:eastAsia="es-AR"/>
        </w:rPr>
      </w:pPr>
    </w:p>
    <w:p w:rsidR="00297AD2" w:rsidRPr="00297AD2" w:rsidRDefault="00297AD2" w:rsidP="00297AD2">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lang w:eastAsia="es-AR"/>
        </w:rPr>
      </w:pPr>
      <w:r w:rsidRPr="00297AD2">
        <w:rPr>
          <w:rFonts w:eastAsia="Times New Roman"/>
          <w:color w:val="000000"/>
          <w:position w:val="0"/>
          <w:lang w:eastAsia="es-AR"/>
        </w:rPr>
        <w:t>(1) Centro de Excelencia en Productos y Procesos de Córdoba (CEPROCOR), Álvarez de Arenales 230, Córdoba, Córdoba, Argentina.</w:t>
      </w:r>
    </w:p>
    <w:p w:rsidR="00FB1A05" w:rsidRDefault="00FB1A05">
      <w:pPr>
        <w:spacing w:after="0" w:line="240" w:lineRule="auto"/>
        <w:ind w:left="0" w:hanging="2"/>
        <w:jc w:val="center"/>
      </w:pPr>
    </w:p>
    <w:p w:rsidR="00FB1A05" w:rsidRPr="00C80C1F" w:rsidRDefault="00A51D36">
      <w:pPr>
        <w:pBdr>
          <w:top w:val="nil"/>
          <w:left w:val="nil"/>
          <w:bottom w:val="nil"/>
          <w:right w:val="nil"/>
          <w:between w:val="nil"/>
        </w:pBdr>
        <w:tabs>
          <w:tab w:val="left" w:pos="7185"/>
        </w:tabs>
        <w:spacing w:after="0" w:line="240" w:lineRule="auto"/>
        <w:ind w:left="0" w:hanging="2"/>
        <w:jc w:val="left"/>
        <w:rPr>
          <w:color w:val="FF0000"/>
        </w:rPr>
      </w:pPr>
      <w:r w:rsidRPr="00C03C49">
        <w:rPr>
          <w:color w:val="000000" w:themeColor="text1"/>
        </w:rPr>
        <w:t>Dirección de e-mail:</w:t>
      </w:r>
      <w:r w:rsidR="00704921" w:rsidRPr="00C03C49">
        <w:rPr>
          <w:color w:val="000000" w:themeColor="text1"/>
        </w:rPr>
        <w:t xml:space="preserve"> </w:t>
      </w:r>
      <w:r w:rsidR="0064118C" w:rsidRPr="00C03C49">
        <w:rPr>
          <w:color w:val="000000" w:themeColor="text1"/>
        </w:rPr>
        <w:t>andrea.alessiolax</w:t>
      </w:r>
      <w:r w:rsidR="00794D6B" w:rsidRPr="00C03C49">
        <w:rPr>
          <w:color w:val="000000" w:themeColor="text1"/>
        </w:rPr>
        <w:t>@</w:t>
      </w:r>
      <w:r w:rsidR="00704921" w:rsidRPr="00C03C49">
        <w:rPr>
          <w:color w:val="000000" w:themeColor="text1"/>
        </w:rPr>
        <w:t>cba.gov.ar</w:t>
      </w:r>
      <w:r w:rsidRPr="00C80C1F">
        <w:rPr>
          <w:color w:val="FF0000"/>
        </w:rPr>
        <w:tab/>
      </w:r>
    </w:p>
    <w:p w:rsidR="00FB1A05" w:rsidRDefault="00FB1A05">
      <w:pPr>
        <w:spacing w:after="0" w:line="240" w:lineRule="auto"/>
        <w:ind w:left="0" w:hanging="2"/>
      </w:pPr>
    </w:p>
    <w:p w:rsidR="00FB1A05" w:rsidRDefault="00A51D36">
      <w:pPr>
        <w:spacing w:after="0" w:line="240" w:lineRule="auto"/>
        <w:ind w:left="0" w:hanging="2"/>
      </w:pPr>
      <w:r>
        <w:t>RESUMEN</w:t>
      </w:r>
    </w:p>
    <w:p w:rsidR="00FB1A05" w:rsidRDefault="00FB1A05">
      <w:pPr>
        <w:spacing w:after="0" w:line="240" w:lineRule="auto"/>
        <w:ind w:left="0" w:hanging="2"/>
      </w:pPr>
    </w:p>
    <w:p w:rsidR="00131A13" w:rsidRDefault="00F016D3" w:rsidP="00A57C6C">
      <w:pPr>
        <w:spacing w:after="0"/>
        <w:ind w:left="0" w:hanging="2"/>
      </w:pPr>
      <w:r>
        <w:t>Tras 2</w:t>
      </w:r>
      <w:r w:rsidR="00131A13" w:rsidRPr="00131A13">
        <w:t>0 años ininterru</w:t>
      </w:r>
      <w:r>
        <w:t xml:space="preserve">mpidos, </w:t>
      </w:r>
      <w:r w:rsidR="00A57C6C">
        <w:t xml:space="preserve">CEPROCOR acompaña a </w:t>
      </w:r>
      <w:r>
        <w:t>la industria alimentaria de la ciudad de Córdoba</w:t>
      </w:r>
      <w:r w:rsidR="00A57C6C">
        <w:t xml:space="preserve"> y </w:t>
      </w:r>
      <w:r w:rsidR="000B1B41">
        <w:t>a</w:t>
      </w:r>
      <w:r w:rsidR="00A57C6C">
        <w:t>l estado cordobés</w:t>
      </w:r>
      <w:r>
        <w:t xml:space="preserve">, </w:t>
      </w:r>
      <w:r w:rsidR="00A57C6C">
        <w:t>como órgano de control de calidad e inocuidad en programas de</w:t>
      </w:r>
      <w:r>
        <w:t xml:space="preserve"> asistencia destinad</w:t>
      </w:r>
      <w:r w:rsidR="00A57C6C">
        <w:t>os</w:t>
      </w:r>
      <w:r>
        <w:t xml:space="preserve"> a distintos segmentos de la población</w:t>
      </w:r>
      <w:r w:rsidR="00044997">
        <w:t>,</w:t>
      </w:r>
      <w:r>
        <w:t xml:space="preserve"> </w:t>
      </w:r>
      <w:r w:rsidR="00A57C6C">
        <w:t xml:space="preserve">donde se producen </w:t>
      </w:r>
      <w:r>
        <w:t xml:space="preserve">alimentos para </w:t>
      </w:r>
      <w:r w:rsidR="00131A13" w:rsidRPr="00131A13">
        <w:t xml:space="preserve">más de 200.000 </w:t>
      </w:r>
      <w:r>
        <w:t>ciudadanos</w:t>
      </w:r>
      <w:r w:rsidR="00131A13" w:rsidRPr="00131A13">
        <w:t xml:space="preserve">. </w:t>
      </w:r>
      <w:r w:rsidR="000927C3">
        <w:t xml:space="preserve">Esta relación activa y sostenida entre </w:t>
      </w:r>
      <w:r w:rsidR="00533E3D">
        <w:t xml:space="preserve">los </w:t>
      </w:r>
      <w:r w:rsidR="000927C3">
        <w:t xml:space="preserve">actores mencionados, permitió alcanzar y mantener elevados estándares </w:t>
      </w:r>
      <w:r w:rsidR="00042551">
        <w:t xml:space="preserve">en lo que respecta a la </w:t>
      </w:r>
      <w:r w:rsidR="000927C3">
        <w:t>gestión de la inocuidad alimentaria</w:t>
      </w:r>
      <w:r w:rsidR="00533E3D">
        <w:t xml:space="preserve">. Las extremas restricciones sanitarias del año </w:t>
      </w:r>
      <w:r w:rsidR="00131A13" w:rsidRPr="00131A13">
        <w:t xml:space="preserve">2020, </w:t>
      </w:r>
      <w:r w:rsidR="00533E3D">
        <w:t>impactaron</w:t>
      </w:r>
      <w:r w:rsidR="00131A13" w:rsidRPr="00131A13">
        <w:t xml:space="preserve"> significativamente</w:t>
      </w:r>
      <w:r w:rsidR="00533E3D">
        <w:t xml:space="preserve"> en la asistencia alimentaria tal como se encontraba estructurada</w:t>
      </w:r>
      <w:r w:rsidR="00044997">
        <w:t>, debiendo replantear su modalidad de prestación</w:t>
      </w:r>
      <w:r w:rsidR="003D3901">
        <w:t>,</w:t>
      </w:r>
      <w:r w:rsidR="00044997">
        <w:t xml:space="preserve"> para poder </w:t>
      </w:r>
      <w:r w:rsidR="00533E3D">
        <w:t xml:space="preserve">acompañar </w:t>
      </w:r>
      <w:r w:rsidR="00044997">
        <w:t xml:space="preserve">a su población objetivo a transitar esta situación pandémica. </w:t>
      </w:r>
      <w:r w:rsidR="0028081F">
        <w:t xml:space="preserve">Recién en </w:t>
      </w:r>
      <w:r w:rsidR="00131A13" w:rsidRPr="00131A13">
        <w:t xml:space="preserve">agosto del 2021, </w:t>
      </w:r>
      <w:r w:rsidR="000927C3">
        <w:t>se retoma</w:t>
      </w:r>
      <w:r w:rsidR="0028081F">
        <w:t xml:space="preserve"> la </w:t>
      </w:r>
      <w:proofErr w:type="spellStart"/>
      <w:r w:rsidR="0028081F">
        <w:t>presencialidad</w:t>
      </w:r>
      <w:proofErr w:type="spellEnd"/>
      <w:r w:rsidR="0028081F">
        <w:t xml:space="preserve"> </w:t>
      </w:r>
      <w:r w:rsidR="00533E3D">
        <w:t xml:space="preserve">de estos programas </w:t>
      </w:r>
      <w:r w:rsidR="0028081F">
        <w:t>en sus puntos de consumo</w:t>
      </w:r>
      <w:r w:rsidR="00131A13" w:rsidRPr="00131A13">
        <w:t xml:space="preserve"> </w:t>
      </w:r>
      <w:r w:rsidR="0028081F">
        <w:t xml:space="preserve">habituales </w:t>
      </w:r>
      <w:r w:rsidR="00131A13" w:rsidRPr="00131A13">
        <w:t xml:space="preserve">(más de 120), </w:t>
      </w:r>
      <w:r w:rsidR="0028081F">
        <w:t xml:space="preserve">condicionados </w:t>
      </w:r>
      <w:r w:rsidR="000927C3">
        <w:t xml:space="preserve">en esta oportunidad </w:t>
      </w:r>
      <w:r w:rsidR="0028081F">
        <w:t>por</w:t>
      </w:r>
      <w:r w:rsidR="00131A13" w:rsidRPr="00131A13">
        <w:t xml:space="preserve"> una nueva y especial normalidad.</w:t>
      </w:r>
    </w:p>
    <w:p w:rsidR="00131A13" w:rsidRDefault="000927C3" w:rsidP="000927C3">
      <w:pPr>
        <w:spacing w:after="0"/>
        <w:ind w:left="0" w:hanging="2"/>
      </w:pPr>
      <w:r>
        <w:t>E</w:t>
      </w:r>
      <w:r w:rsidR="00131A13" w:rsidRPr="00131A13">
        <w:t>l presente trabajo pretende mostrar</w:t>
      </w:r>
      <w:r w:rsidR="00562CB2">
        <w:t xml:space="preserve"> </w:t>
      </w:r>
      <w:r w:rsidR="003D5A64">
        <w:t>que</w:t>
      </w:r>
      <w:r w:rsidR="00562CB2">
        <w:t xml:space="preserve"> efectos </w:t>
      </w:r>
      <w:r w:rsidR="003D5A64">
        <w:t>produjo</w:t>
      </w:r>
      <w:r w:rsidR="00562CB2">
        <w:t xml:space="preserve"> la pandemia sobre la gestión de la inocuidad</w:t>
      </w:r>
      <w:r w:rsidR="003D5A64">
        <w:t>,</w:t>
      </w:r>
      <w:r w:rsidR="00562CB2">
        <w:t xml:space="preserve"> </w:t>
      </w:r>
      <w:r w:rsidR="003D5A64">
        <w:t xml:space="preserve">en </w:t>
      </w:r>
      <w:r w:rsidR="00562CB2">
        <w:t xml:space="preserve">uno de los programas alimentarios con servido de </w:t>
      </w:r>
      <w:r w:rsidR="00165238">
        <w:t xml:space="preserve">los </w:t>
      </w:r>
      <w:r w:rsidR="00562CB2">
        <w:t xml:space="preserve">alimentos en comedores de la provincia. </w:t>
      </w:r>
    </w:p>
    <w:p w:rsidR="005D047D" w:rsidRDefault="00EB41E0" w:rsidP="00EB41E0">
      <w:pPr>
        <w:spacing w:after="0"/>
        <w:ind w:left="0" w:hanging="2"/>
      </w:pPr>
      <w:r>
        <w:t>Para cumplir con el o</w:t>
      </w:r>
      <w:r w:rsidR="00165238">
        <w:t>bjetivo planteado, se compararon</w:t>
      </w:r>
      <w:r>
        <w:t xml:space="preserve"> los resultados obtenidos en el sistema de control de la gestión de inocuidad en el programa, durante el período agosto – </w:t>
      </w:r>
      <w:r w:rsidR="00165238">
        <w:t>nov</w:t>
      </w:r>
      <w:r>
        <w:t xml:space="preserve">iembre de los años 2019 y 2021. Las </w:t>
      </w:r>
      <w:r w:rsidRPr="00131A13">
        <w:t>herramientas</w:t>
      </w:r>
      <w:r>
        <w:t xml:space="preserve"> técnicas utilizadas en este control involucraron programas de auditorías en los puntos de producción y servido de los alimentos, junto al monitoreo analítico de las condiciones microbiológicas de los alimentos producidos.</w:t>
      </w:r>
      <w:r w:rsidR="0071371A">
        <w:t xml:space="preserve"> Tras el análisis comparativo de los datos, se observó que en las auditorías realizadas sobre la producción de alimentos se obtuvieron resultados similares para ambos períodos bajo estudio, obteniéndose en todos los casos valores de cumplimiento superiores al 97%. </w:t>
      </w:r>
      <w:r w:rsidR="00A66A10">
        <w:t>En cuanto</w:t>
      </w:r>
      <w:r w:rsidR="00041BD0">
        <w:t xml:space="preserve"> al estándar de inocuidad obt</w:t>
      </w:r>
      <w:r w:rsidR="00A66A10">
        <w:t xml:space="preserve">enido en los puntos de consumo y los resultados microbiológicos de los alimentos analizados en ambos períodos, se comportaron de manera </w:t>
      </w:r>
      <w:r w:rsidR="006D0D31">
        <w:t>semejante</w:t>
      </w:r>
      <w:r w:rsidR="00A66A10">
        <w:t xml:space="preserve">, mostrando una tendencia positiva de cumplimiento en los resultados del 2021 respecto del 2019. El promedio de conformidad para auditorías en comedores se ubicó en 90,3% para el 2019 y </w:t>
      </w:r>
      <w:r w:rsidR="003B6697">
        <w:t xml:space="preserve">94,7% en 2021. </w:t>
      </w:r>
      <w:r w:rsidR="005D047D">
        <w:t xml:space="preserve">El 93% de </w:t>
      </w:r>
      <w:r w:rsidR="000B71C3">
        <w:t>los alimentos analizado</w:t>
      </w:r>
      <w:r w:rsidR="003B6697">
        <w:t xml:space="preserve">s </w:t>
      </w:r>
      <w:r w:rsidR="005D047D">
        <w:t>en 2019 obtuv</w:t>
      </w:r>
      <w:r w:rsidR="000B71C3">
        <w:t>ieron</w:t>
      </w:r>
      <w:r w:rsidR="005D047D">
        <w:t xml:space="preserve"> resultados satisfactorios para los parámetros microbiológicos </w:t>
      </w:r>
      <w:r w:rsidR="005D047D">
        <w:lastRenderedPageBreak/>
        <w:t xml:space="preserve">investigados y para el 2021 este porcentaje fue del 95,5%. </w:t>
      </w:r>
      <w:r w:rsidR="00131A7A">
        <w:t>En ambos períodos los microorganismos detectados en estas muestras fueron s</w:t>
      </w:r>
      <w:r w:rsidR="006D0D31">
        <w:t>ó</w:t>
      </w:r>
      <w:r w:rsidR="00131A7A">
        <w:t xml:space="preserve">lo indicadores de higiene. </w:t>
      </w:r>
    </w:p>
    <w:p w:rsidR="005D047D" w:rsidRDefault="00131A7A" w:rsidP="00EB41E0">
      <w:pPr>
        <w:spacing w:after="0"/>
        <w:ind w:left="0" w:hanging="2"/>
      </w:pPr>
      <w:r>
        <w:t>Este análisis demostró</w:t>
      </w:r>
      <w:r w:rsidR="00D4764A">
        <w:t xml:space="preserve"> que los estándares de inocuidad se mantuvieron a pesar de las situaciones imprevistas atravesadas, confirmando</w:t>
      </w:r>
      <w:r>
        <w:t xml:space="preserve"> la solidez alcanzada por el sistema de g</w:t>
      </w:r>
      <w:r w:rsidR="003A400D">
        <w:t>estión de inocuidad implementado</w:t>
      </w:r>
      <w:r>
        <w:t xml:space="preserve"> </w:t>
      </w:r>
      <w:r w:rsidR="003A400D">
        <w:t xml:space="preserve">entorno al programa alimentario, priorizando </w:t>
      </w:r>
      <w:r w:rsidR="00D4764A">
        <w:t>la protección de la salud de</w:t>
      </w:r>
      <w:r w:rsidR="003A400D">
        <w:t xml:space="preserve"> la población </w:t>
      </w:r>
      <w:r w:rsidR="00D4764A">
        <w:t xml:space="preserve">objetivo, a través de la provisión de alimentos seguros.  </w:t>
      </w:r>
      <w:r>
        <w:t xml:space="preserve"> </w:t>
      </w:r>
    </w:p>
    <w:p w:rsidR="005D047D" w:rsidRDefault="005D047D" w:rsidP="00EB41E0">
      <w:pPr>
        <w:spacing w:after="0"/>
        <w:ind w:left="0" w:hanging="2"/>
      </w:pPr>
    </w:p>
    <w:p w:rsidR="00131A13" w:rsidRDefault="00131A13">
      <w:pPr>
        <w:spacing w:after="0" w:line="240" w:lineRule="auto"/>
        <w:ind w:left="0" w:hanging="2"/>
      </w:pPr>
    </w:p>
    <w:p w:rsidR="00297AD2" w:rsidRPr="006D0D31" w:rsidRDefault="00297AD2" w:rsidP="00297AD2">
      <w:pPr>
        <w:spacing w:after="0" w:line="240" w:lineRule="auto"/>
        <w:ind w:left="0" w:hanging="2"/>
        <w:rPr>
          <w:color w:val="000000" w:themeColor="text1"/>
        </w:rPr>
      </w:pPr>
      <w:r w:rsidRPr="00A2614B">
        <w:t>Palabras Clave</w:t>
      </w:r>
      <w:r w:rsidR="00DD4B2D" w:rsidRPr="00A2614B">
        <w:t>s</w:t>
      </w:r>
      <w:r w:rsidRPr="00A2614B">
        <w:t xml:space="preserve">: </w:t>
      </w:r>
      <w:r w:rsidR="00A2614B" w:rsidRPr="006D0D31">
        <w:rPr>
          <w:color w:val="000000" w:themeColor="text1"/>
        </w:rPr>
        <w:t xml:space="preserve">alimentos seguros, </w:t>
      </w:r>
      <w:r w:rsidR="00D4764A" w:rsidRPr="006D0D31">
        <w:rPr>
          <w:color w:val="000000" w:themeColor="text1"/>
        </w:rPr>
        <w:t>situación sanitaria</w:t>
      </w:r>
      <w:r w:rsidR="00A2614B" w:rsidRPr="006D0D31">
        <w:rPr>
          <w:color w:val="000000" w:themeColor="text1"/>
        </w:rPr>
        <w:t xml:space="preserve">, </w:t>
      </w:r>
      <w:r w:rsidR="000E7FF1" w:rsidRPr="006D0D31">
        <w:rPr>
          <w:color w:val="000000" w:themeColor="text1"/>
        </w:rPr>
        <w:t>servicios de alimentación.</w:t>
      </w:r>
    </w:p>
    <w:p w:rsidR="00BB0C9F" w:rsidRPr="006D0D31" w:rsidRDefault="00BB0C9F" w:rsidP="001B65CE">
      <w:pPr>
        <w:ind w:left="0" w:hanging="2"/>
        <w:rPr>
          <w:color w:val="000000" w:themeColor="text1"/>
        </w:rPr>
      </w:pPr>
    </w:p>
    <w:p w:rsidR="00BB0C9F" w:rsidRDefault="00BB0C9F" w:rsidP="001B65CE">
      <w:pPr>
        <w:ind w:left="0" w:hanging="2"/>
        <w:rPr>
          <w:rFonts w:ascii="Times New Roman" w:hAnsi="Times New Roman"/>
        </w:rPr>
      </w:pPr>
    </w:p>
    <w:p w:rsidR="001B65CE" w:rsidRPr="004779D8" w:rsidRDefault="001B65CE" w:rsidP="001B65CE">
      <w:pPr>
        <w:ind w:left="0" w:hanging="2"/>
        <w:rPr>
          <w:rFonts w:ascii="Times New Roman" w:hAnsi="Times New Roman"/>
        </w:rPr>
      </w:pPr>
      <w:r w:rsidRPr="004779D8">
        <w:rPr>
          <w:rFonts w:ascii="Times New Roman" w:hAnsi="Times New Roman"/>
        </w:rPr>
        <w:t xml:space="preserve"> </w:t>
      </w:r>
    </w:p>
    <w:p w:rsidR="001C36C0" w:rsidRPr="00B30FE1" w:rsidRDefault="001C36C0" w:rsidP="004F561B">
      <w:pPr>
        <w:ind w:left="0" w:hanging="2"/>
        <w:rPr>
          <w:rFonts w:cs="Tahoma"/>
          <w:u w:val="single"/>
        </w:rPr>
      </w:pPr>
    </w:p>
    <w:p w:rsidR="0086599D" w:rsidRDefault="0086599D">
      <w:pPr>
        <w:spacing w:after="0" w:line="240" w:lineRule="auto"/>
        <w:ind w:left="0" w:hanging="2"/>
      </w:pPr>
    </w:p>
    <w:sectPr w:rsidR="0086599D">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F0" w:rsidRDefault="006573F0">
      <w:pPr>
        <w:spacing w:after="0" w:line="240" w:lineRule="auto"/>
        <w:ind w:left="0" w:hanging="2"/>
      </w:pPr>
      <w:r>
        <w:separator/>
      </w:r>
    </w:p>
  </w:endnote>
  <w:endnote w:type="continuationSeparator" w:id="0">
    <w:p w:rsidR="006573F0" w:rsidRDefault="006573F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F0" w:rsidRDefault="006573F0">
      <w:pPr>
        <w:spacing w:after="0" w:line="240" w:lineRule="auto"/>
        <w:ind w:left="0" w:hanging="2"/>
      </w:pPr>
      <w:r>
        <w:separator/>
      </w:r>
    </w:p>
  </w:footnote>
  <w:footnote w:type="continuationSeparator" w:id="0">
    <w:p w:rsidR="006573F0" w:rsidRDefault="006573F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05" w:rsidRDefault="00A51D3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B432E"/>
    <w:multiLevelType w:val="hybridMultilevel"/>
    <w:tmpl w:val="4FB06936"/>
    <w:lvl w:ilvl="0" w:tplc="EBB4181C">
      <w:numFmt w:val="bullet"/>
      <w:lvlText w:val="-"/>
      <w:lvlJc w:val="left"/>
      <w:pPr>
        <w:ind w:left="720" w:hanging="360"/>
      </w:pPr>
      <w:rPr>
        <w:rFonts w:ascii="Calibri" w:eastAsia="Calibri" w:hAnsi="Calibri"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E3B1FB3"/>
    <w:multiLevelType w:val="hybridMultilevel"/>
    <w:tmpl w:val="7666B0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05"/>
    <w:rsid w:val="00041BD0"/>
    <w:rsid w:val="00042551"/>
    <w:rsid w:val="00044997"/>
    <w:rsid w:val="000866CE"/>
    <w:rsid w:val="000927C3"/>
    <w:rsid w:val="000B1B41"/>
    <w:rsid w:val="000B71C3"/>
    <w:rsid w:val="000E7FF1"/>
    <w:rsid w:val="000F14C4"/>
    <w:rsid w:val="000F7333"/>
    <w:rsid w:val="00111D35"/>
    <w:rsid w:val="00131A13"/>
    <w:rsid w:val="00131A7A"/>
    <w:rsid w:val="00165238"/>
    <w:rsid w:val="00166062"/>
    <w:rsid w:val="001B65CE"/>
    <w:rsid w:val="001C36C0"/>
    <w:rsid w:val="0028081F"/>
    <w:rsid w:val="00297AD2"/>
    <w:rsid w:val="002A700C"/>
    <w:rsid w:val="00306AD7"/>
    <w:rsid w:val="00396F65"/>
    <w:rsid w:val="003A400D"/>
    <w:rsid w:val="003B3349"/>
    <w:rsid w:val="003B6697"/>
    <w:rsid w:val="003D3901"/>
    <w:rsid w:val="003D5A64"/>
    <w:rsid w:val="003F4281"/>
    <w:rsid w:val="004E01A9"/>
    <w:rsid w:val="004F561B"/>
    <w:rsid w:val="00533E3D"/>
    <w:rsid w:val="00562CB2"/>
    <w:rsid w:val="005D047D"/>
    <w:rsid w:val="005F7445"/>
    <w:rsid w:val="0064118C"/>
    <w:rsid w:val="00642B7E"/>
    <w:rsid w:val="006573F0"/>
    <w:rsid w:val="006D0D31"/>
    <w:rsid w:val="00704921"/>
    <w:rsid w:val="0071371A"/>
    <w:rsid w:val="00771E51"/>
    <w:rsid w:val="00783230"/>
    <w:rsid w:val="007906D5"/>
    <w:rsid w:val="00794D6B"/>
    <w:rsid w:val="00794E41"/>
    <w:rsid w:val="007A3C22"/>
    <w:rsid w:val="008643B8"/>
    <w:rsid w:val="0086599D"/>
    <w:rsid w:val="008B2830"/>
    <w:rsid w:val="008E4F49"/>
    <w:rsid w:val="009145B5"/>
    <w:rsid w:val="00A2614B"/>
    <w:rsid w:val="00A50D8E"/>
    <w:rsid w:val="00A51D36"/>
    <w:rsid w:val="00A57C6C"/>
    <w:rsid w:val="00A66A10"/>
    <w:rsid w:val="00A66DAE"/>
    <w:rsid w:val="00A816C4"/>
    <w:rsid w:val="00AA705A"/>
    <w:rsid w:val="00B01FD2"/>
    <w:rsid w:val="00B1167E"/>
    <w:rsid w:val="00B32962"/>
    <w:rsid w:val="00B7390D"/>
    <w:rsid w:val="00B86AA8"/>
    <w:rsid w:val="00BB0C9F"/>
    <w:rsid w:val="00BC24CC"/>
    <w:rsid w:val="00C03C49"/>
    <w:rsid w:val="00C4777F"/>
    <w:rsid w:val="00C80C1F"/>
    <w:rsid w:val="00CC63AF"/>
    <w:rsid w:val="00CF3221"/>
    <w:rsid w:val="00D06388"/>
    <w:rsid w:val="00D12B2F"/>
    <w:rsid w:val="00D4764A"/>
    <w:rsid w:val="00D70479"/>
    <w:rsid w:val="00D8773C"/>
    <w:rsid w:val="00DA7D69"/>
    <w:rsid w:val="00DD4B2D"/>
    <w:rsid w:val="00DD7C83"/>
    <w:rsid w:val="00E35BD3"/>
    <w:rsid w:val="00EB41E0"/>
    <w:rsid w:val="00EE7C38"/>
    <w:rsid w:val="00EF311E"/>
    <w:rsid w:val="00F016D3"/>
    <w:rsid w:val="00F12DDE"/>
    <w:rsid w:val="00FB1A05"/>
    <w:rsid w:val="00FE67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FB5E9-0DA1-44E2-BF1D-718A92E3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C36C0"/>
    <w:pPr>
      <w:suppressAutoHyphens w:val="0"/>
      <w:ind w:leftChars="0" w:left="720" w:firstLineChars="0" w:firstLine="0"/>
      <w:contextualSpacing/>
      <w:jc w:val="left"/>
      <w:textDirection w:val="lrTb"/>
      <w:textAlignment w:val="auto"/>
      <w:outlineLvl w:val="9"/>
    </w:pPr>
    <w:rPr>
      <w:rFonts w:ascii="Calibri" w:eastAsia="Calibri" w:hAnsi="Calibri" w:cs="Times New Roman"/>
      <w:position w:val="0"/>
      <w:sz w:val="22"/>
      <w:szCs w:val="22"/>
    </w:rPr>
  </w:style>
  <w:style w:type="paragraph" w:styleId="NormalWeb">
    <w:name w:val="Normal (Web)"/>
    <w:basedOn w:val="Normal"/>
    <w:uiPriority w:val="99"/>
    <w:unhideWhenUsed/>
    <w:rsid w:val="00297A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8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67FE9F-0818-41F1-8BEC-CAA3A351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Alessio</cp:lastModifiedBy>
  <cp:revision>2</cp:revision>
  <cp:lastPrinted>2022-07-01T12:59:00Z</cp:lastPrinted>
  <dcterms:created xsi:type="dcterms:W3CDTF">2022-07-05T16:42:00Z</dcterms:created>
  <dcterms:modified xsi:type="dcterms:W3CDTF">2022-07-05T16:42:00Z</dcterms:modified>
</cp:coreProperties>
</file>