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4CA2" w14:textId="77777777" w:rsidR="00E81FF1" w:rsidRDefault="00000000" w:rsidP="009F12C0">
      <w:pPr>
        <w:pStyle w:val="Ttulo"/>
      </w:pPr>
      <w:r>
        <w:t>Optimización de la extracción de proteína de maní (</w:t>
      </w:r>
      <w:proofErr w:type="spellStart"/>
      <w:r>
        <w:rPr>
          <w:i/>
        </w:rPr>
        <w:t>Arachis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hypogaea</w:t>
      </w:r>
      <w:proofErr w:type="spellEnd"/>
      <w:r>
        <w:t>) a</w:t>
      </w:r>
      <w:r>
        <w:rPr>
          <w:spacing w:val="-6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torta residual</w:t>
      </w:r>
      <w:r>
        <w:rPr>
          <w:spacing w:val="-1"/>
        </w:rPr>
        <w:t xml:space="preserve"> </w:t>
      </w:r>
      <w:r>
        <w:t>de la extracción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aceite</w:t>
      </w:r>
    </w:p>
    <w:p w14:paraId="6C179833" w14:textId="77777777" w:rsidR="00E81FF1" w:rsidRDefault="00E81FF1" w:rsidP="009F12C0">
      <w:pPr>
        <w:pStyle w:val="Textoindependiente"/>
        <w:rPr>
          <w:rFonts w:ascii="Arial"/>
          <w:b/>
        </w:rPr>
      </w:pPr>
    </w:p>
    <w:p w14:paraId="6036C2F4" w14:textId="1EDDAC55" w:rsidR="00E81FF1" w:rsidRDefault="00000000" w:rsidP="009F12C0">
      <w:pPr>
        <w:pStyle w:val="Textoindependiente"/>
        <w:ind w:left="258" w:right="245"/>
        <w:jc w:val="center"/>
      </w:pPr>
      <w:r>
        <w:t>Martín</w:t>
      </w:r>
      <w:r>
        <w:rPr>
          <w:spacing w:val="-1"/>
        </w:rPr>
        <w:t xml:space="preserve"> </w:t>
      </w:r>
      <w:r>
        <w:t>Costa AO (1),</w:t>
      </w:r>
      <w:r>
        <w:rPr>
          <w:spacing w:val="-1"/>
        </w:rPr>
        <w:t xml:space="preserve"> </w:t>
      </w:r>
      <w:proofErr w:type="spellStart"/>
      <w:r>
        <w:t>Aminahuel</w:t>
      </w:r>
      <w:proofErr w:type="spellEnd"/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(1)</w:t>
      </w:r>
      <w:r w:rsidR="00673CDA">
        <w:t>,</w:t>
      </w:r>
      <w:r>
        <w:rPr>
          <w:spacing w:val="-2"/>
        </w:rPr>
        <w:t xml:space="preserve"> </w:t>
      </w:r>
      <w:r>
        <w:t>Mauri</w:t>
      </w:r>
      <w:r>
        <w:rPr>
          <w:spacing w:val="-1"/>
        </w:rPr>
        <w:t xml:space="preserve"> </w:t>
      </w:r>
      <w:r>
        <w:t>AN (2),</w:t>
      </w:r>
      <w:r>
        <w:rPr>
          <w:spacing w:val="-1"/>
        </w:rPr>
        <w:t xml:space="preserve"> </w:t>
      </w:r>
      <w:r>
        <w:t>Montenegro</w:t>
      </w:r>
      <w:r>
        <w:rPr>
          <w:spacing w:val="-1"/>
        </w:rPr>
        <w:t xml:space="preserve"> </w:t>
      </w:r>
      <w:r>
        <w:t>MA (1)</w:t>
      </w:r>
    </w:p>
    <w:p w14:paraId="2FE1F02B" w14:textId="77777777" w:rsidR="00E81FF1" w:rsidRDefault="00E81FF1" w:rsidP="009F12C0">
      <w:pPr>
        <w:pStyle w:val="Textoindependiente"/>
      </w:pPr>
    </w:p>
    <w:p w14:paraId="09C7802F" w14:textId="77777777" w:rsidR="00E81FF1" w:rsidRDefault="00000000" w:rsidP="009F12C0">
      <w:pPr>
        <w:pStyle w:val="Prrafodelista"/>
        <w:numPr>
          <w:ilvl w:val="0"/>
          <w:numId w:val="1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Instituto Multidisciplinario de Investigación y Transferencia Agroalimentaria y</w:t>
      </w:r>
      <w:r>
        <w:rPr>
          <w:spacing w:val="-64"/>
          <w:sz w:val="24"/>
        </w:rPr>
        <w:t xml:space="preserve"> </w:t>
      </w:r>
      <w:r>
        <w:rPr>
          <w:sz w:val="24"/>
        </w:rPr>
        <w:t>Biotecnología (IMITAB), Universidad Nacional Villa María (UNVM), Campus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Universitario.</w:t>
      </w:r>
      <w:r>
        <w:rPr>
          <w:spacing w:val="-2"/>
          <w:sz w:val="24"/>
        </w:rPr>
        <w:t xml:space="preserve"> </w:t>
      </w:r>
      <w:r>
        <w:rPr>
          <w:sz w:val="24"/>
        </w:rPr>
        <w:t>Av.</w:t>
      </w:r>
      <w:r>
        <w:rPr>
          <w:spacing w:val="-1"/>
          <w:sz w:val="24"/>
        </w:rPr>
        <w:t xml:space="preserve"> </w:t>
      </w:r>
      <w:r>
        <w:rPr>
          <w:sz w:val="24"/>
        </w:rPr>
        <w:t>Arturo Jauretche 1555,</w:t>
      </w:r>
      <w:r>
        <w:rPr>
          <w:spacing w:val="-1"/>
          <w:sz w:val="24"/>
        </w:rPr>
        <w:t xml:space="preserve"> </w:t>
      </w:r>
      <w:r>
        <w:rPr>
          <w:sz w:val="24"/>
        </w:rPr>
        <w:t>Villa María,</w:t>
      </w:r>
      <w:r>
        <w:rPr>
          <w:spacing w:val="-1"/>
          <w:sz w:val="24"/>
        </w:rPr>
        <w:t xml:space="preserve"> </w:t>
      </w:r>
      <w:r>
        <w:rPr>
          <w:sz w:val="24"/>
        </w:rPr>
        <w:t>Córdoba,</w:t>
      </w:r>
      <w:r>
        <w:rPr>
          <w:spacing w:val="-2"/>
          <w:sz w:val="24"/>
        </w:rPr>
        <w:t xml:space="preserve"> </w:t>
      </w:r>
      <w:r>
        <w:rPr>
          <w:sz w:val="24"/>
        </w:rPr>
        <w:t>Argentina</w:t>
      </w:r>
    </w:p>
    <w:p w14:paraId="458D4764" w14:textId="77777777" w:rsidR="00E81FF1" w:rsidRDefault="00000000" w:rsidP="009F12C0">
      <w:pPr>
        <w:pStyle w:val="Prrafodelista"/>
        <w:numPr>
          <w:ilvl w:val="0"/>
          <w:numId w:val="1"/>
        </w:numPr>
        <w:tabs>
          <w:tab w:val="left" w:pos="477"/>
        </w:tabs>
        <w:spacing w:before="2"/>
        <w:jc w:val="both"/>
        <w:rPr>
          <w:sz w:val="24"/>
        </w:rPr>
      </w:pP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Criotecnología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(CIDCA)-Universidad Nacional de La Plata, Calle 47 Esq. 116, La Plata,</w:t>
      </w:r>
      <w:r>
        <w:rPr>
          <w:spacing w:val="1"/>
          <w:sz w:val="24"/>
        </w:rPr>
        <w:t xml:space="preserve"> </w:t>
      </w:r>
      <w:r>
        <w:rPr>
          <w:sz w:val="24"/>
        </w:rPr>
        <w:t>Buenos Aires,</w:t>
      </w:r>
      <w:r>
        <w:rPr>
          <w:spacing w:val="-1"/>
          <w:sz w:val="24"/>
        </w:rPr>
        <w:t xml:space="preserve"> </w:t>
      </w:r>
      <w:r>
        <w:rPr>
          <w:sz w:val="24"/>
        </w:rPr>
        <w:t>Argentina</w:t>
      </w:r>
    </w:p>
    <w:p w14:paraId="57F8A9A2" w14:textId="77777777" w:rsidR="00E81FF1" w:rsidRDefault="00000000" w:rsidP="009F12C0">
      <w:pPr>
        <w:pStyle w:val="Textoindependiente"/>
        <w:spacing w:before="117"/>
        <w:ind w:left="116"/>
        <w:jc w:val="both"/>
      </w:pPr>
      <w:r>
        <w:rPr>
          <w:position w:val="1"/>
        </w:rPr>
        <w:t>Dirección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e-mail:</w:t>
      </w:r>
      <w:r>
        <w:rPr>
          <w:spacing w:val="-2"/>
          <w:position w:val="1"/>
        </w:rPr>
        <w:t xml:space="preserve"> </w:t>
      </w:r>
      <w:hyperlink r:id="rId7">
        <w:r>
          <w:rPr>
            <w:color w:val="0000FF"/>
            <w:u w:val="single" w:color="0000FF"/>
          </w:rPr>
          <w:t>amadeo.martincosta@gmail.com</w:t>
        </w:r>
      </w:hyperlink>
    </w:p>
    <w:p w14:paraId="799091AD" w14:textId="77777777" w:rsidR="00E81FF1" w:rsidRDefault="00E81FF1" w:rsidP="009F12C0">
      <w:pPr>
        <w:pStyle w:val="Textoindependiente"/>
        <w:rPr>
          <w:sz w:val="16"/>
        </w:rPr>
      </w:pPr>
    </w:p>
    <w:p w14:paraId="3A319448" w14:textId="3D5ECB19" w:rsidR="00E81FF1" w:rsidRDefault="00000000" w:rsidP="009F12C0">
      <w:pPr>
        <w:pStyle w:val="Textoindependiente"/>
        <w:spacing w:before="92"/>
        <w:ind w:left="118" w:right="99"/>
        <w:jc w:val="both"/>
      </w:pPr>
      <w:r>
        <w:t>La industria alimentaria, persiguiendo su desarrollo sostenible, está aplicando</w:t>
      </w:r>
      <w:r>
        <w:rPr>
          <w:spacing w:val="1"/>
        </w:rPr>
        <w:t xml:space="preserve"> </w:t>
      </w:r>
      <w:r>
        <w:t>medidas para mejorar su impacto ambiental, entre las que se encuentra el</w:t>
      </w:r>
      <w:r>
        <w:rPr>
          <w:spacing w:val="1"/>
        </w:rPr>
        <w:t xml:space="preserve"> </w:t>
      </w:r>
      <w:r>
        <w:t>aprovechamiento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subproductos.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subproductos</w:t>
      </w:r>
      <w:r>
        <w:rPr>
          <w:spacing w:val="-6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relevantes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provincia de Córdoba, se incluyen a los de la industria oleaginosa como la Torta</w:t>
      </w:r>
      <w:r>
        <w:rPr>
          <w:spacing w:val="-65"/>
        </w:rPr>
        <w:t xml:space="preserve"> </w:t>
      </w:r>
      <w:r>
        <w:t xml:space="preserve">Residual o </w:t>
      </w:r>
      <w:proofErr w:type="spellStart"/>
      <w:r>
        <w:t>Expeller</w:t>
      </w:r>
      <w:proofErr w:type="spellEnd"/>
      <w:r>
        <w:t xml:space="preserve"> de Maní (EM) resultante de la extracción de aceite por</w:t>
      </w:r>
      <w:r>
        <w:rPr>
          <w:spacing w:val="1"/>
        </w:rPr>
        <w:t xml:space="preserve"> </w:t>
      </w:r>
      <w:r>
        <w:t>prensado. El EM posee un 50% de proteína de elevada calidad nutricional,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proteínas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aminoácidos</w:t>
      </w:r>
      <w:r>
        <w:rPr>
          <w:spacing w:val="13"/>
        </w:rPr>
        <w:t xml:space="preserve"> </w:t>
      </w:r>
      <w:r>
        <w:t>esenciales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son</w:t>
      </w:r>
      <w:r>
        <w:rPr>
          <w:spacing w:val="13"/>
        </w:rPr>
        <w:t xml:space="preserve"> </w:t>
      </w:r>
      <w:r>
        <w:t>fácilmente</w:t>
      </w:r>
      <w:r>
        <w:rPr>
          <w:spacing w:val="14"/>
        </w:rPr>
        <w:t xml:space="preserve"> </w:t>
      </w:r>
      <w:r>
        <w:t>asimilables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humano.</w:t>
      </w:r>
      <w:r>
        <w:rPr>
          <w:spacing w:val="14"/>
        </w:rPr>
        <w:t xml:space="preserve"> </w:t>
      </w:r>
      <w:r>
        <w:t>Debido</w:t>
      </w:r>
      <w:r>
        <w:rPr>
          <w:spacing w:val="-6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propiedades</w:t>
      </w:r>
      <w:r>
        <w:rPr>
          <w:spacing w:val="-12"/>
        </w:rPr>
        <w:t xml:space="preserve"> </w:t>
      </w:r>
      <w:r>
        <w:t>funcionales,</w:t>
      </w:r>
      <w:r>
        <w:rPr>
          <w:spacing w:val="-13"/>
        </w:rPr>
        <w:t xml:space="preserve"> </w:t>
      </w:r>
      <w:r>
        <w:t>alto</w:t>
      </w:r>
      <w:r>
        <w:rPr>
          <w:spacing w:val="-12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nutricional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costo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comparación</w:t>
      </w:r>
      <w:r>
        <w:rPr>
          <w:spacing w:val="-65"/>
        </w:rPr>
        <w:t xml:space="preserve"> </w:t>
      </w:r>
      <w:r>
        <w:t>con otras proteínas, la proteína de maní está encontrando una aplicación más</w:t>
      </w:r>
      <w:r>
        <w:rPr>
          <w:spacing w:val="1"/>
        </w:rPr>
        <w:t xml:space="preserve"> </w:t>
      </w:r>
      <w:r>
        <w:rPr>
          <w:spacing w:val="-1"/>
        </w:rPr>
        <w:t>amplia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industria</w:t>
      </w:r>
      <w:r>
        <w:rPr>
          <w:spacing w:val="-16"/>
        </w:rPr>
        <w:t xml:space="preserve"> </w:t>
      </w:r>
      <w:r>
        <w:t>alimentaria.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aislado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proteína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maní</w:t>
      </w:r>
      <w:r>
        <w:rPr>
          <w:spacing w:val="-16"/>
        </w:rPr>
        <w:t xml:space="preserve"> </w:t>
      </w:r>
      <w:r>
        <w:t>(APM)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puede</w:t>
      </w:r>
      <w:r>
        <w:rPr>
          <w:spacing w:val="-64"/>
        </w:rPr>
        <w:t xml:space="preserve"> </w:t>
      </w:r>
      <w:r>
        <w:t>obtener con un alto rendimiento mediante disolución alcalina y precipitación</w:t>
      </w:r>
      <w:r>
        <w:rPr>
          <w:spacing w:val="1"/>
        </w:rPr>
        <w:t xml:space="preserve"> </w:t>
      </w:r>
      <w:r>
        <w:t>ácida. El objetivo de este trabajo fue optimizar las condiciones de extracción del</w:t>
      </w:r>
      <w:r>
        <w:rPr>
          <w:spacing w:val="-64"/>
        </w:rPr>
        <w:t xml:space="preserve"> </w:t>
      </w:r>
      <w:r>
        <w:t>aislado proteico de EM buscando obtener el máximo rendimiento de proteína</w:t>
      </w:r>
      <w:r>
        <w:rPr>
          <w:spacing w:val="1"/>
        </w:rPr>
        <w:t xml:space="preserve"> </w:t>
      </w:r>
      <w:r>
        <w:t>recuperada, como una primera etapa de un posible proceso de industrialización</w:t>
      </w:r>
      <w:r>
        <w:rPr>
          <w:spacing w:val="-64"/>
        </w:rPr>
        <w:t xml:space="preserve"> </w:t>
      </w:r>
      <w:r>
        <w:t>para su aprovechamiento. El proceso de extracción se llevó a cabo mediante</w:t>
      </w:r>
      <w:r>
        <w:rPr>
          <w:spacing w:val="1"/>
        </w:rPr>
        <w:t xml:space="preserve"> </w:t>
      </w:r>
      <w:r>
        <w:t>disolución</w:t>
      </w:r>
      <w:r>
        <w:rPr>
          <w:spacing w:val="-8"/>
        </w:rPr>
        <w:t xml:space="preserve"> </w:t>
      </w:r>
      <w:r>
        <w:t>alcalina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precipitación</w:t>
      </w:r>
      <w:r>
        <w:rPr>
          <w:spacing w:val="-8"/>
        </w:rPr>
        <w:t xml:space="preserve"> </w:t>
      </w:r>
      <w:r>
        <w:t>ácida,</w:t>
      </w:r>
      <w:r>
        <w:rPr>
          <w:spacing w:val="-8"/>
        </w:rPr>
        <w:t xml:space="preserve"> </w:t>
      </w:r>
      <w:r>
        <w:t>seguido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centrifugación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secado</w:t>
      </w:r>
      <w:r>
        <w:rPr>
          <w:spacing w:val="-8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liofilización. Se agreg</w:t>
      </w:r>
      <w:r w:rsidR="004D30CE">
        <w:t>ó</w:t>
      </w:r>
      <w:r>
        <w:t xml:space="preserve"> un pretratamiento con etanol al 70% para evaluar su</w:t>
      </w:r>
      <w:r>
        <w:rPr>
          <w:spacing w:val="1"/>
        </w:rPr>
        <w:t xml:space="preserve"> </w:t>
      </w:r>
      <w:r>
        <w:t>influencia en la eficiencia de la extracción. Se realizó la optimización de la</w:t>
      </w:r>
      <w:r>
        <w:rPr>
          <w:spacing w:val="1"/>
        </w:rPr>
        <w:t xml:space="preserve"> </w:t>
      </w:r>
      <w:r>
        <w:t>extracción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proteína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EM,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compuesto</w:t>
      </w:r>
      <w:r>
        <w:rPr>
          <w:spacing w:val="-3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tres factores y se analizó mediante la metodología de superficie de respuesta.</w:t>
      </w:r>
      <w:r>
        <w:rPr>
          <w:spacing w:val="1"/>
        </w:rPr>
        <w:t xml:space="preserve"> </w:t>
      </w:r>
      <w:r>
        <w:t>Las variables independientes fueron temperatura y pH, mientras que la variable</w:t>
      </w:r>
      <w:r>
        <w:rPr>
          <w:spacing w:val="-64"/>
        </w:rPr>
        <w:t xml:space="preserve"> </w:t>
      </w:r>
      <w:r>
        <w:t>respuesta fue el porcentaje de proteína recuperada. Las variables fijadas fueron</w:t>
      </w:r>
      <w:r>
        <w:rPr>
          <w:spacing w:val="-65"/>
        </w:rPr>
        <w:t xml:space="preserve"> </w:t>
      </w:r>
      <w:r>
        <w:t>relación harina/agua (H/A) 1/20 y tiempo 60 min. El aislado obtenido bajo las</w:t>
      </w:r>
      <w:r>
        <w:rPr>
          <w:spacing w:val="1"/>
        </w:rPr>
        <w:t xml:space="preserve"> </w:t>
      </w:r>
      <w:r>
        <w:t>condiciones óptimas fue caracterizado determinándose el contenido de proteína</w:t>
      </w:r>
      <w:r>
        <w:rPr>
          <w:spacing w:val="-65"/>
        </w:rPr>
        <w:t xml:space="preserve"> </w:t>
      </w:r>
      <w:r>
        <w:t>y la solubilidad a pH 7. El modelo resultante fue una ecuación lineal, dentro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seleccionados.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predichos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ecuaciones</w:t>
      </w:r>
      <w:r>
        <w:rPr>
          <w:spacing w:val="1"/>
        </w:rPr>
        <w:t xml:space="preserve"> </w:t>
      </w:r>
      <w:r>
        <w:t>ajustadas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observados</w:t>
      </w:r>
      <w:r>
        <w:rPr>
          <w:spacing w:val="-4"/>
        </w:rPr>
        <w:t xml:space="preserve"> </w:t>
      </w:r>
      <w:r>
        <w:t>indican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ajuste</w:t>
      </w:r>
      <w:r>
        <w:rPr>
          <w:spacing w:val="-5"/>
        </w:rPr>
        <w:t xml:space="preserve"> </w:t>
      </w:r>
      <w:r>
        <w:t>razonable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datos experimentales. Las condiciones óptimas de extracción fueron 75°C y pH</w:t>
      </w:r>
      <w:r>
        <w:rPr>
          <w:spacing w:val="-64"/>
        </w:rPr>
        <w:t xml:space="preserve"> </w:t>
      </w:r>
      <w:r>
        <w:t>11, sin pretratamiento con etanol, relación H/A 1/20, durante una hora. Bajo las</w:t>
      </w:r>
      <w:r>
        <w:rPr>
          <w:spacing w:val="1"/>
        </w:rPr>
        <w:t xml:space="preserve"> </w:t>
      </w:r>
      <w:r>
        <w:t>cuales el rendimiento de la extracción alcanzó el 64% de proteína recuperada,</w:t>
      </w:r>
      <w:r>
        <w:rPr>
          <w:spacing w:val="1"/>
        </w:rPr>
        <w:t xml:space="preserve"> </w:t>
      </w:r>
      <w:r>
        <w:t>con un 76.68 % p/p de proteína y una solubilidad a pH 7 del 96.80 % p/v. 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validado</w:t>
      </w:r>
      <w:r>
        <w:rPr>
          <w:spacing w:val="1"/>
        </w:rPr>
        <w:t xml:space="preserve"> </w:t>
      </w:r>
      <w:r>
        <w:t>satisfactoriamente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predichos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experimentales.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desestiman trabajar a estos pH ya que a ciertas condiciones pueden generar</w:t>
      </w:r>
      <w:r>
        <w:rPr>
          <w:spacing w:val="1"/>
        </w:rPr>
        <w:t xml:space="preserve"> </w:t>
      </w:r>
      <w:r>
        <w:t>cambios</w:t>
      </w:r>
      <w:r>
        <w:rPr>
          <w:spacing w:val="23"/>
        </w:rPr>
        <w:t xml:space="preserve"> </w:t>
      </w:r>
      <w:r>
        <w:t>indeseables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proteína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generación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proofErr w:type="spellStart"/>
      <w:r>
        <w:t>isopéptidos</w:t>
      </w:r>
      <w:proofErr w:type="spellEnd"/>
    </w:p>
    <w:p w14:paraId="1B126081" w14:textId="77777777" w:rsidR="00E81FF1" w:rsidRDefault="00E81FF1" w:rsidP="009F12C0">
      <w:pPr>
        <w:jc w:val="both"/>
        <w:sectPr w:rsidR="00E81FF1">
          <w:headerReference w:type="default" r:id="rId8"/>
          <w:type w:val="continuous"/>
          <w:pgSz w:w="11910" w:h="16840"/>
          <w:pgMar w:top="1400" w:right="1580" w:bottom="280" w:left="1600" w:header="382" w:footer="720" w:gutter="0"/>
          <w:pgNumType w:start="1"/>
          <w:cols w:space="720"/>
        </w:sectPr>
      </w:pPr>
    </w:p>
    <w:p w14:paraId="2B0D003E" w14:textId="77777777" w:rsidR="00E81FF1" w:rsidRDefault="00000000" w:rsidP="009F12C0">
      <w:pPr>
        <w:pStyle w:val="Textoindependiente"/>
        <w:spacing w:before="18"/>
        <w:ind w:left="118" w:right="100"/>
        <w:jc w:val="both"/>
      </w:pPr>
      <w:r>
        <w:lastRenderedPageBreak/>
        <w:t>potencialmente perjudiciales para la salud del consumidor. Resulta necesario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propiedades</w:t>
      </w:r>
      <w:r>
        <w:rPr>
          <w:spacing w:val="1"/>
        </w:rPr>
        <w:t xml:space="preserve"> </w:t>
      </w:r>
      <w:r>
        <w:t>funcionales,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antioxidante,</w:t>
      </w:r>
      <w:r>
        <w:rPr>
          <w:spacing w:val="-2"/>
        </w:rPr>
        <w:t xml:space="preserve"> </w:t>
      </w:r>
      <w:r>
        <w:t>color,</w:t>
      </w:r>
      <w:r>
        <w:rPr>
          <w:spacing w:val="-1"/>
        </w:rPr>
        <w:t xml:space="preserve"> </w:t>
      </w:r>
      <w:r>
        <w:t>y el grado de toxicidad,</w:t>
      </w:r>
      <w:r>
        <w:rPr>
          <w:spacing w:val="-1"/>
        </w:rPr>
        <w:t xml:space="preserve"> </w:t>
      </w:r>
      <w:r>
        <w:t>entre otras, del aislado obtenido.</w:t>
      </w:r>
    </w:p>
    <w:p w14:paraId="2CCF1A06" w14:textId="77777777" w:rsidR="00E81FF1" w:rsidRDefault="00E81FF1" w:rsidP="009F12C0">
      <w:pPr>
        <w:pStyle w:val="Textoindependiente"/>
      </w:pPr>
    </w:p>
    <w:p w14:paraId="2026274E" w14:textId="77777777" w:rsidR="00E81FF1" w:rsidRDefault="00000000" w:rsidP="009F12C0">
      <w:pPr>
        <w:pStyle w:val="Textoindependiente"/>
        <w:ind w:left="118" w:right="100"/>
        <w:jc w:val="both"/>
      </w:pPr>
      <w:r>
        <w:t>Palabras Clave: metodología de superficie de respuesta, aislado proteico de</w:t>
      </w:r>
      <w:r>
        <w:rPr>
          <w:spacing w:val="1"/>
        </w:rPr>
        <w:t xml:space="preserve"> </w:t>
      </w:r>
      <w:r>
        <w:t>maní,</w:t>
      </w:r>
      <w:r>
        <w:rPr>
          <w:spacing w:val="-1"/>
        </w:rPr>
        <w:t xml:space="preserve"> </w:t>
      </w:r>
      <w:proofErr w:type="spellStart"/>
      <w:r>
        <w:t>expeller</w:t>
      </w:r>
      <w:proofErr w:type="spellEnd"/>
      <w:r>
        <w:rPr>
          <w:spacing w:val="-1"/>
        </w:rPr>
        <w:t xml:space="preserve"> </w:t>
      </w:r>
      <w:r>
        <w:t>de maní.</w:t>
      </w:r>
    </w:p>
    <w:sectPr w:rsidR="00E81FF1">
      <w:pgSz w:w="11910" w:h="16840"/>
      <w:pgMar w:top="1400" w:right="1580" w:bottom="280" w:left="1600" w:header="3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5D46" w14:textId="77777777" w:rsidR="0098087B" w:rsidRDefault="0098087B">
      <w:r>
        <w:separator/>
      </w:r>
    </w:p>
  </w:endnote>
  <w:endnote w:type="continuationSeparator" w:id="0">
    <w:p w14:paraId="6893ABA7" w14:textId="77777777" w:rsidR="0098087B" w:rsidRDefault="0098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4029" w14:textId="77777777" w:rsidR="0098087B" w:rsidRDefault="0098087B">
      <w:r>
        <w:separator/>
      </w:r>
    </w:p>
  </w:footnote>
  <w:footnote w:type="continuationSeparator" w:id="0">
    <w:p w14:paraId="2344FC19" w14:textId="77777777" w:rsidR="0098087B" w:rsidRDefault="0098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B02E" w14:textId="558AD6AC" w:rsidR="00E81FF1" w:rsidRDefault="00000000">
    <w:pPr>
      <w:pStyle w:val="Textoindependiente"/>
      <w:spacing w:line="14" w:lineRule="auto"/>
      <w:rPr>
        <w:sz w:val="20"/>
      </w:rPr>
    </w:pPr>
    <w:r>
      <w:pict w14:anchorId="63088F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3.2pt;margin-top:39.8pt;width:400.95pt;height:12.1pt;z-index:-15756288;mso-position-horizontal-relative:page;mso-position-vertical-relative:page" filled="f" stroked="f">
          <v:textbox style="mso-next-textbox:#_x0000_s1025" inset="0,0,0,0">
            <w:txbxContent>
              <w:p w14:paraId="5A7A76DD" w14:textId="77777777" w:rsidR="00E81FF1" w:rsidRPr="00477442" w:rsidRDefault="00000000">
                <w:pPr>
                  <w:spacing w:before="14"/>
                  <w:ind w:left="20"/>
                  <w:rPr>
                    <w:rFonts w:ascii="Arial" w:hAnsi="Arial" w:cs="Arial"/>
                    <w:b/>
                    <w:i/>
                    <w:sz w:val="18"/>
                  </w:rPr>
                </w:pP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VIII</w:t>
                </w:r>
                <w:r w:rsidRPr="00477442">
                  <w:rPr>
                    <w:rFonts w:ascii="Arial" w:hAnsi="Arial" w:cs="Arial"/>
                    <w:b/>
                    <w:i/>
                    <w:spacing w:val="-3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Congreso</w:t>
                </w:r>
                <w:r w:rsidRPr="00477442">
                  <w:rPr>
                    <w:rFonts w:ascii="Arial" w:hAnsi="Arial" w:cs="Arial"/>
                    <w:b/>
                    <w:i/>
                    <w:spacing w:val="-4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Internacional</w:t>
                </w:r>
                <w:r w:rsidRPr="00477442">
                  <w:rPr>
                    <w:rFonts w:ascii="Arial" w:hAnsi="Arial" w:cs="Arial"/>
                    <w:b/>
                    <w:i/>
                    <w:spacing w:val="-3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de</w:t>
                </w:r>
                <w:r w:rsidRPr="00477442">
                  <w:rPr>
                    <w:rFonts w:ascii="Arial" w:hAnsi="Arial" w:cs="Arial"/>
                    <w:b/>
                    <w:i/>
                    <w:spacing w:val="-3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Ciencia</w:t>
                </w:r>
                <w:r w:rsidRPr="00477442">
                  <w:rPr>
                    <w:rFonts w:ascii="Arial" w:hAnsi="Arial" w:cs="Arial"/>
                    <w:b/>
                    <w:i/>
                    <w:spacing w:val="-4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y</w:t>
                </w:r>
                <w:r w:rsidRPr="00477442">
                  <w:rPr>
                    <w:rFonts w:ascii="Arial" w:hAnsi="Arial" w:cs="Arial"/>
                    <w:b/>
                    <w:i/>
                    <w:spacing w:val="-3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Tecnología</w:t>
                </w:r>
                <w:r w:rsidRPr="00477442">
                  <w:rPr>
                    <w:rFonts w:ascii="Arial" w:hAnsi="Arial" w:cs="Arial"/>
                    <w:b/>
                    <w:i/>
                    <w:spacing w:val="-4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de</w:t>
                </w:r>
                <w:r w:rsidRPr="00477442">
                  <w:rPr>
                    <w:rFonts w:ascii="Arial" w:hAnsi="Arial" w:cs="Arial"/>
                    <w:b/>
                    <w:i/>
                    <w:spacing w:val="-3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Alimentos</w:t>
                </w:r>
                <w:r w:rsidRPr="00477442">
                  <w:rPr>
                    <w:rFonts w:ascii="Arial" w:hAnsi="Arial" w:cs="Arial"/>
                    <w:b/>
                    <w:i/>
                    <w:spacing w:val="-3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(CICYTAC</w:t>
                </w:r>
                <w:r w:rsidRPr="00477442">
                  <w:rPr>
                    <w:rFonts w:ascii="Arial" w:hAnsi="Arial" w:cs="Arial"/>
                    <w:b/>
                    <w:i/>
                    <w:spacing w:val="-4"/>
                    <w:sz w:val="18"/>
                  </w:rPr>
                  <w:t xml:space="preserve"> </w:t>
                </w:r>
                <w:r w:rsidRPr="00477442">
                  <w:rPr>
                    <w:rFonts w:ascii="Arial" w:hAnsi="Arial" w:cs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  <w:r>
      <w:pict w14:anchorId="4334FE32">
        <v:group id="_x0000_s1026" style="position:absolute;margin-left:84.7pt;margin-top:19.1pt;width:427.95pt;height:51.75pt;z-index:-15756800;mso-position-horizontal-relative:page;mso-position-vertical-relative:page" coordorigin="1694,382" coordsize="8559,1035">
          <v:rect id="_x0000_s1028" style="position:absolute;left:1694;top:1041;width:8559;height:10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729;top:381;width:1065;height:1035">
            <v:imagedata r:id="rId1" o:title=""/>
          </v:shape>
          <w10:wrap anchorx="page" anchory="page"/>
        </v:group>
      </w:pict>
    </w:r>
    <w:r w:rsidR="00477442">
      <w:rPr>
        <w:sz w:val="20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F19FA"/>
    <w:multiLevelType w:val="hybridMultilevel"/>
    <w:tmpl w:val="93A0DFA6"/>
    <w:lvl w:ilvl="0" w:tplc="A5D45D74">
      <w:start w:val="1"/>
      <w:numFmt w:val="decimal"/>
      <w:lvlText w:val="(%1)"/>
      <w:lvlJc w:val="left"/>
      <w:pPr>
        <w:ind w:left="47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3081B18">
      <w:numFmt w:val="bullet"/>
      <w:lvlText w:val="•"/>
      <w:lvlJc w:val="left"/>
      <w:pPr>
        <w:ind w:left="1304" w:hanging="360"/>
      </w:pPr>
      <w:rPr>
        <w:rFonts w:hint="default"/>
        <w:lang w:val="es-ES" w:eastAsia="en-US" w:bidi="ar-SA"/>
      </w:rPr>
    </w:lvl>
    <w:lvl w:ilvl="2" w:tplc="B358AD54"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3" w:tplc="EC96EF60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 w:tplc="D3E0B0C6"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5" w:tplc="3A5C6F16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6" w:tplc="1D549FDE">
      <w:numFmt w:val="bullet"/>
      <w:lvlText w:val="•"/>
      <w:lvlJc w:val="left"/>
      <w:pPr>
        <w:ind w:left="5427" w:hanging="360"/>
      </w:pPr>
      <w:rPr>
        <w:rFonts w:hint="default"/>
        <w:lang w:val="es-ES" w:eastAsia="en-US" w:bidi="ar-SA"/>
      </w:rPr>
    </w:lvl>
    <w:lvl w:ilvl="7" w:tplc="B1F47E52">
      <w:numFmt w:val="bullet"/>
      <w:lvlText w:val="•"/>
      <w:lvlJc w:val="left"/>
      <w:pPr>
        <w:ind w:left="6251" w:hanging="360"/>
      </w:pPr>
      <w:rPr>
        <w:rFonts w:hint="default"/>
        <w:lang w:val="es-ES" w:eastAsia="en-US" w:bidi="ar-SA"/>
      </w:rPr>
    </w:lvl>
    <w:lvl w:ilvl="8" w:tplc="76AE4CB0">
      <w:numFmt w:val="bullet"/>
      <w:lvlText w:val="•"/>
      <w:lvlJc w:val="left"/>
      <w:pPr>
        <w:ind w:left="7076" w:hanging="360"/>
      </w:pPr>
      <w:rPr>
        <w:rFonts w:hint="default"/>
        <w:lang w:val="es-ES" w:eastAsia="en-US" w:bidi="ar-SA"/>
      </w:rPr>
    </w:lvl>
  </w:abstractNum>
  <w:num w:numId="1" w16cid:durableId="48440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FF1"/>
    <w:rsid w:val="00026818"/>
    <w:rsid w:val="00273B0A"/>
    <w:rsid w:val="00477442"/>
    <w:rsid w:val="004D30CE"/>
    <w:rsid w:val="00673CDA"/>
    <w:rsid w:val="008353BE"/>
    <w:rsid w:val="0098087B"/>
    <w:rsid w:val="009F12C0"/>
    <w:rsid w:val="00E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5AC9E5"/>
  <w15:docId w15:val="{AD60FAB4-3069-48CD-8DEB-CEE3B57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5"/>
      <w:ind w:left="262" w:right="24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476" w:right="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774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44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74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44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deo.martincos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Martin Costa  CICYTAC 2022 ( Res 1).docx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Martin Costa  CICYTAC 2022 ( Res 1).docx</dc:title>
  <cp:lastModifiedBy>Cicytac</cp:lastModifiedBy>
  <cp:revision>7</cp:revision>
  <dcterms:created xsi:type="dcterms:W3CDTF">2022-07-27T13:57:00Z</dcterms:created>
  <dcterms:modified xsi:type="dcterms:W3CDTF">2022-07-28T23:02:00Z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Word</vt:lpwstr>
  </property>
  <property fmtid="{D5CDD505-2E9C-101B-9397-08002B2CF9AE}" pid="4" name="LastSaved">
    <vt:filetime>2022-07-27T00:00:00Z</vt:filetime>
  </property>
</Properties>
</file>